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金华市</w:t>
      </w:r>
      <w:r>
        <w:rPr>
          <w:rFonts w:hint="eastAsia" w:ascii="方正小标宋简体" w:hAnsi="方正小标宋简体" w:eastAsia="方正小标宋简体" w:cs="方正小标宋简体"/>
          <w:sz w:val="44"/>
          <w:szCs w:val="44"/>
        </w:rPr>
        <w:t>建筑施工现场信息化管理</w:t>
      </w:r>
      <w:r>
        <w:rPr>
          <w:rFonts w:hint="eastAsia" w:ascii="方正小标宋简体" w:hAnsi="方正小标宋简体" w:eastAsia="方正小标宋简体" w:cs="方正小标宋简体"/>
          <w:sz w:val="44"/>
          <w:szCs w:val="44"/>
          <w:lang w:eastAsia="zh-CN"/>
        </w:rPr>
        <w:t>试行办法</w:t>
      </w:r>
    </w:p>
    <w:p>
      <w:pPr>
        <w:keepNext w:val="0"/>
        <w:keepLines w:val="0"/>
        <w:pageBreakBefore w:val="0"/>
        <w:widowControl w:val="0"/>
        <w:kinsoku/>
        <w:wordWrap/>
        <w:overflowPunct/>
        <w:topLinePunct w:val="0"/>
        <w:bidi w:val="0"/>
        <w:snapToGrid/>
        <w:spacing w:line="560" w:lineRule="exact"/>
        <w:textAlignment w:val="auto"/>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为了加快推进建筑工地信息化管理</w:t>
      </w:r>
      <w:r>
        <w:rPr>
          <w:rFonts w:hint="eastAsia" w:ascii="仿宋_GB2312" w:hAnsi="仿宋_GB2312" w:eastAsia="仿宋_GB2312" w:cs="仿宋_GB2312"/>
          <w:sz w:val="32"/>
          <w:szCs w:val="32"/>
          <w:lang w:eastAsia="zh-CN"/>
        </w:rPr>
        <w:t>水平</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建筑施工安全质量标准化管理，有效遏制重大伤亡事故，结合本市实际，制定</w:t>
      </w:r>
      <w:r>
        <w:rPr>
          <w:rFonts w:hint="eastAsia" w:ascii="仿宋_GB2312" w:hAnsi="仿宋_GB2312" w:eastAsia="仿宋_GB2312" w:cs="仿宋_GB2312"/>
          <w:sz w:val="32"/>
          <w:szCs w:val="32"/>
          <w:lang w:eastAsia="zh-CN"/>
        </w:rPr>
        <w:t>本试行办法</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一、本试行办法适用于</w:t>
      </w:r>
      <w:r>
        <w:rPr>
          <w:rFonts w:hint="eastAsia" w:ascii="仿宋_GB2312" w:hAnsi="仿宋_GB2312" w:eastAsia="仿宋_GB2312" w:cs="仿宋_GB2312"/>
          <w:sz w:val="32"/>
          <w:szCs w:val="32"/>
        </w:rPr>
        <w:t>本市行政区域内的房屋建筑、市政基础设施工程和城市轨道交通工程</w:t>
      </w:r>
      <w:r>
        <w:rPr>
          <w:rFonts w:hint="eastAsia" w:ascii="仿宋_GB2312" w:hAnsi="仿宋_GB2312" w:eastAsia="仿宋_GB2312" w:cs="仿宋_GB2312"/>
          <w:sz w:val="32"/>
          <w:szCs w:val="32"/>
          <w:lang w:eastAsia="zh-CN"/>
        </w:rPr>
        <w:t>施工现场信息化建设和管理。</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二、施工现场</w:t>
      </w:r>
      <w:r>
        <w:rPr>
          <w:rFonts w:hint="eastAsia" w:ascii="仿宋_GB2312" w:hAnsi="仿宋_GB2312" w:eastAsia="仿宋_GB2312" w:cs="仿宋_GB2312"/>
          <w:sz w:val="32"/>
          <w:szCs w:val="32"/>
        </w:rPr>
        <w:t>主要管理人员通过实名制考勤系统</w:t>
      </w:r>
      <w:r>
        <w:rPr>
          <w:rFonts w:hint="eastAsia" w:ascii="仿宋_GB2312" w:hAnsi="仿宋_GB2312" w:eastAsia="仿宋_GB2312" w:cs="仿宋_GB2312"/>
          <w:sz w:val="32"/>
          <w:szCs w:val="32"/>
          <w:lang w:eastAsia="zh-CN"/>
        </w:rPr>
        <w:t>进行实名制管理。</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施工</w:t>
      </w:r>
      <w:r>
        <w:rPr>
          <w:rFonts w:hint="eastAsia" w:ascii="仿宋_GB2312" w:hAnsi="仿宋_GB2312" w:eastAsia="仿宋_GB2312" w:cs="仿宋_GB2312"/>
          <w:sz w:val="32"/>
          <w:szCs w:val="32"/>
          <w:lang w:eastAsia="zh-CN"/>
        </w:rPr>
        <w:t>单位应</w:t>
      </w:r>
      <w:r>
        <w:rPr>
          <w:rFonts w:hint="eastAsia" w:ascii="仿宋_GB2312" w:hAnsi="仿宋_GB2312" w:eastAsia="仿宋_GB2312" w:cs="仿宋_GB2312"/>
          <w:sz w:val="32"/>
          <w:szCs w:val="32"/>
        </w:rPr>
        <w:t>在施工现场人员出入口配置实名制考勤设备，施工现场实名制考勤系统应在项目开工前安装完成，并应按规定接入金华市建筑施工现场实名制考核平台。</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施工现场主要管理人员应通过人脸识别、二代身份证识别、指纹识别和虹膜识别等设备进行身份确认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并应符合《金华市建筑施工现场主要管理人员考勤预警管理办法》要求。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施工现场应设置视频监控系统，视频监控应覆盖工地出入口、土方开挖区域、钢筋绑扎区域、高大模板支撑架搭设区域、材料加工与吊装区域、试块制作区域、班前会议区域等重点部位。</w:t>
      </w:r>
      <w:r>
        <w:rPr>
          <w:rFonts w:hint="eastAsia" w:ascii="仿宋_GB2312" w:hAnsi="仿宋_GB2312" w:eastAsia="仿宋_GB2312" w:cs="仿宋_GB2312"/>
          <w:color w:val="000000" w:themeColor="text1"/>
          <w:sz w:val="32"/>
          <w:szCs w:val="32"/>
        </w:rPr>
        <w:t>视频监控设备安装数量应满足工程建设管理的需要且应符合以下要求：</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（一）建筑面积在5万平方米以下的项目，监控点数量不应少于3个；</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（二）建筑面积在5万～10平方米的项目，监控点数量不应少于5个；</w:t>
      </w:r>
    </w:p>
    <w:p>
      <w:pPr>
        <w:pStyle w:val="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（三）建筑面积在10万平方米以上的项目，监控点数量不应少于8个。</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施工单位</w:t>
      </w:r>
      <w:r>
        <w:rPr>
          <w:rFonts w:hint="eastAsia" w:ascii="仿宋_GB2312" w:hAnsi="仿宋_GB2312" w:eastAsia="仿宋_GB2312" w:cs="仿宋_GB2312"/>
          <w:color w:val="000000" w:themeColor="text1"/>
          <w:sz w:val="32"/>
          <w:szCs w:val="32"/>
        </w:rPr>
        <w:t>在开工前应制定视频监控设备安装方案及完成初始设备安装，并随工程进度的推进逐步增减监控设备。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视频监控设备应该为带云平台功能的球形摄像机，可接入</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主管部门智慧工地监管系统。安装位置应选取能反映出整个项目施工情况的最合理有利位置，能基本显示场容场貌、重大危险源和工程主体施工状况。视频影像应当清晰可见。</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工程施工过程中使用塔式起重机和施工升降机，应安装起重机械运行监控设备。运行监控设备应满足以下功能要求：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0" w:name="_GoBack"/>
      <w:bookmarkEnd w:id="0"/>
      <w:r>
        <w:rPr>
          <w:rFonts w:hint="eastAsia" w:ascii="仿宋_GB2312" w:hAnsi="仿宋_GB2312" w:eastAsia="仿宋_GB2312" w:cs="仿宋_GB2312"/>
          <w:sz w:val="32"/>
          <w:szCs w:val="32"/>
        </w:rPr>
        <w:t>）应监控记录机械设备运行状态；</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（二）应设定机械设备限制作业区域；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（三）应实时采集运行数据；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（四）数据宜无线传输到管理平台；</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（五）应自动分析、预警和提示运行数据。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当运行监控设备发出预警信息时，专职机械设备管理人员应能及时收到反馈信息，并对预警信息进行处置。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司机室应设置智能识别系统，由施工现场安全员录入司机信息。</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安装在大型机械设备上的监控设备的安拆应与机械设备的安拆同时进行，其他视频监控设备原则上需在工程基本完工后方可拆除。因施工进度需要临时拆除的监控设备应当在该施工作业完成后及时恢复。机械设备检测机构应把监控系统安装情况作为检测内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建筑工地应使用“浙里建”系统进行施工过程控制，项目部应为项目部各管理人员申请账号并配置相应权限。</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施工单位和监理单位应使用“浙里建”系统进行日常检查管理、编写工程日志等过程管理，</w:t>
      </w:r>
      <w:r>
        <w:rPr>
          <w:rFonts w:hint="eastAsia" w:ascii="仿宋_GB2312" w:hAnsi="仿宋_GB2312" w:eastAsia="仿宋_GB2312" w:cs="仿宋_GB2312"/>
          <w:sz w:val="32"/>
          <w:szCs w:val="32"/>
          <w:lang w:eastAsia="zh-CN"/>
        </w:rPr>
        <w:t>工程日志应包括</w:t>
      </w:r>
      <w:r>
        <w:rPr>
          <w:rFonts w:hint="eastAsia" w:ascii="仿宋_GB2312" w:hAnsi="仿宋_GB2312" w:eastAsia="仿宋_GB2312" w:cs="仿宋_GB2312"/>
          <w:sz w:val="32"/>
          <w:szCs w:val="32"/>
        </w:rPr>
        <w:t>班前会议</w:t>
      </w:r>
      <w:r>
        <w:rPr>
          <w:rFonts w:hint="eastAsia" w:ascii="仿宋_GB2312" w:hAnsi="仿宋_GB2312" w:eastAsia="仿宋_GB2312" w:cs="仿宋_GB2312"/>
          <w:sz w:val="32"/>
          <w:szCs w:val="32"/>
          <w:lang w:eastAsia="zh-CN"/>
        </w:rPr>
        <w:t>等现场监管等重要内容，并</w:t>
      </w:r>
      <w:r>
        <w:rPr>
          <w:rFonts w:hint="eastAsia" w:ascii="仿宋_GB2312" w:hAnsi="仿宋_GB2312" w:eastAsia="仿宋_GB2312" w:cs="仿宋_GB2312"/>
          <w:sz w:val="32"/>
          <w:szCs w:val="32"/>
        </w:rPr>
        <w:t>上传相应文字、图像、视频等影像资料。如因天气等原因停工的应书面报告属地质量安全监督机构。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项目各方主体应使用“浙里建工程造价管控”录入项目造价信息、工程款支付信息，申报或审核变更签证、项目结算等，并确保填报内容及时、准确、真实。</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信息化系统不得随意关闭，设备故障不能正常工作的应当</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修复，无法修复的应当更换设备。设备故障应书面报告质量安全监督机构。（详见附件：</w:t>
      </w:r>
      <w:r>
        <w:rPr>
          <w:rFonts w:hint="eastAsia" w:ascii="仿宋_GB2312" w:hAnsi="仿宋_GB2312" w:eastAsia="仿宋_GB2312" w:cs="仿宋_GB2312"/>
          <w:sz w:val="32"/>
          <w:szCs w:val="32"/>
          <w:lang w:eastAsia="zh-CN"/>
        </w:rPr>
        <w:t>建筑工地</w:t>
      </w:r>
      <w:r>
        <w:rPr>
          <w:rFonts w:hint="eastAsia" w:ascii="仿宋_GB2312" w:hAnsi="仿宋_GB2312" w:eastAsia="仿宋_GB2312" w:cs="仿宋_GB2312"/>
          <w:sz w:val="32"/>
          <w:szCs w:val="32"/>
        </w:rPr>
        <w:t>信息化管理有关事项报告书）。</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各施工单位、监理单位应建立设备管理台账，派专人负责信息化管理工作。信息化管理记录可采用文字、照片、视频等形式保存，视频资料存储期限不少于1个月，其他资料应保存至项目竣工验收合格。分包单位的信息化管理记录由总承包单位统一汇总并归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信息化管理记录未经许可，不得通过网络、媒体等渠道传播。</w:t>
      </w:r>
    </w:p>
    <w:p>
      <w:pPr>
        <w:keepNext w:val="0"/>
        <w:keepLines w:val="0"/>
        <w:pageBreakBefore w:val="0"/>
        <w:widowControl w:val="0"/>
        <w:numPr>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建设单位应每月检查项目部施工、监理等单位信息化管理落实情况。</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施工单位应当定期对设备进行检查，每月不少于1次，监理单位应派人参加。</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质量安全监督机构监督小组应每月对所管辖的项目信息化应用情况进行检查汇总。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违反本</w:t>
      </w:r>
      <w:r>
        <w:rPr>
          <w:rFonts w:hint="eastAsia" w:ascii="仿宋_GB2312" w:hAnsi="仿宋_GB2312" w:eastAsia="仿宋_GB2312" w:cs="仿宋_GB2312"/>
          <w:sz w:val="32"/>
          <w:szCs w:val="32"/>
          <w:lang w:eastAsia="zh-CN"/>
        </w:rPr>
        <w:t>试行办法</w:t>
      </w:r>
      <w:r>
        <w:rPr>
          <w:rFonts w:hint="eastAsia" w:ascii="仿宋_GB2312" w:hAnsi="仿宋_GB2312" w:eastAsia="仿宋_GB2312" w:cs="仿宋_GB2312"/>
          <w:sz w:val="32"/>
          <w:szCs w:val="32"/>
        </w:rPr>
        <w:t>，施工单位有下列行为之一的，责令限期改正；逾期未改正的，给予黄牌警告。</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信息化系统不能正常工作又未书面报告质量安全监督机构或设备故障未及时排除的。</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实名制考勤系统因非设备原因未按规定接入金华市建筑施工现场实名制考核平台或数据未及时同步的。</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主要管理人员未按要求进行考勤的。</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未按要求设置视频监控、机械设备监控系统的。</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视频监控、机械设备监控系统临时拆除后未及时恢复的。</w:t>
      </w:r>
    </w:p>
    <w:p>
      <w:pPr>
        <w:keepNext w:val="0"/>
        <w:keepLines w:val="0"/>
        <w:pageBreakBefore w:val="0"/>
        <w:widowControl w:val="0"/>
        <w:numPr>
          <w:ilvl w:val="0"/>
          <w:numId w:val="1"/>
        </w:numPr>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施工、监理单位日常检查记录，安全日志未按规定上传“浙里建”系统的。</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建筑工地未按</w:t>
      </w:r>
      <w:r>
        <w:rPr>
          <w:rFonts w:hint="eastAsia" w:ascii="仿宋_GB2312" w:hAnsi="仿宋_GB2312" w:eastAsia="仿宋_GB2312" w:cs="仿宋_GB2312"/>
          <w:sz w:val="32"/>
          <w:szCs w:val="32"/>
          <w:lang w:eastAsia="zh-CN"/>
        </w:rPr>
        <w:t>本试行办法</w:t>
      </w:r>
      <w:r>
        <w:rPr>
          <w:rFonts w:hint="eastAsia" w:ascii="仿宋_GB2312" w:hAnsi="仿宋_GB2312" w:eastAsia="仿宋_GB2312" w:cs="仿宋_GB2312"/>
          <w:sz w:val="32"/>
          <w:szCs w:val="32"/>
        </w:rPr>
        <w:t>被责令改正后再次发生同类型行为的，给予黄牌警示。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建筑工地在一年内两次被黄牌警示的，则直接给予红牌警告。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十三、本试行办法</w:t>
      </w:r>
      <w:r>
        <w:rPr>
          <w:rFonts w:hint="eastAsia" w:ascii="仿宋_GB2312" w:hAnsi="仿宋_GB2312" w:eastAsia="仿宋_GB2312" w:cs="仿宋_GB2312"/>
          <w:sz w:val="32"/>
          <w:szCs w:val="32"/>
        </w:rPr>
        <w:t>由金华市住房和城乡建设局负责解释。</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十四、本试行办法</w:t>
      </w:r>
      <w:r>
        <w:rPr>
          <w:rFonts w:hint="eastAsia" w:ascii="仿宋_GB2312" w:hAnsi="仿宋_GB2312" w:eastAsia="仿宋_GB2312" w:cs="仿宋_GB2312"/>
          <w:sz w:val="32"/>
          <w:szCs w:val="32"/>
        </w:rPr>
        <w:t>自公布之日起执行。</w:t>
      </w:r>
    </w:p>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b/>
          <w:sz w:val="36"/>
          <w:szCs w:val="36"/>
        </w:rPr>
      </w:pPr>
    </w:p>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b/>
          <w:sz w:val="36"/>
          <w:szCs w:val="36"/>
        </w:rPr>
      </w:pPr>
    </w:p>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b/>
          <w:sz w:val="36"/>
          <w:szCs w:val="36"/>
        </w:rPr>
      </w:pPr>
    </w:p>
    <w:p>
      <w:pPr>
        <w:keepNext w:val="0"/>
        <w:keepLines w:val="0"/>
        <w:pageBreakBefore w:val="0"/>
        <w:widowControl w:val="0"/>
        <w:kinsoku/>
        <w:wordWrap/>
        <w:overflowPunct/>
        <w:topLinePunct w:val="0"/>
        <w:bidi w:val="0"/>
        <w:snapToGrid/>
        <w:spacing w:line="560" w:lineRule="exact"/>
        <w:jc w:val="both"/>
        <w:textAlignment w:val="auto"/>
        <w:rPr>
          <w:rFonts w:hint="default" w:ascii="仿宋_GB2312" w:hAnsi="宋体" w:eastAsia="仿宋_GB2312"/>
          <w:b w:val="0"/>
          <w:bCs/>
          <w:sz w:val="32"/>
          <w:szCs w:val="32"/>
          <w:lang w:val="en-US" w:eastAsia="zh-CN"/>
        </w:rPr>
      </w:pPr>
      <w:r>
        <w:rPr>
          <w:rFonts w:hint="eastAsia" w:ascii="仿宋_GB2312" w:hAnsi="宋体" w:eastAsia="仿宋_GB2312"/>
          <w:b w:val="0"/>
          <w:bCs/>
          <w:sz w:val="32"/>
          <w:szCs w:val="32"/>
          <w:lang w:val="en-US" w:eastAsia="zh-CN"/>
        </w:rPr>
        <w:t>附件</w:t>
      </w:r>
    </w:p>
    <w:p>
      <w:pPr>
        <w:keepNext w:val="0"/>
        <w:keepLines w:val="0"/>
        <w:pageBreakBefore w:val="0"/>
        <w:widowControl w:val="0"/>
        <w:kinsoku/>
        <w:wordWrap/>
        <w:overflowPunct/>
        <w:topLinePunct w:val="0"/>
        <w:bidi w:val="0"/>
        <w:snapToGrid/>
        <w:spacing w:line="560" w:lineRule="exact"/>
        <w:jc w:val="center"/>
        <w:textAlignment w:val="auto"/>
        <w:rPr>
          <w:rFonts w:ascii="仿宋_GB2312" w:hAnsi="仿宋" w:eastAsia="仿宋_GB2312" w:cs="宋体 ，Arial"/>
          <w:color w:val="000000"/>
          <w:sz w:val="30"/>
          <w:szCs w:val="30"/>
        </w:rPr>
      </w:pPr>
      <w:r>
        <w:rPr>
          <w:rFonts w:hint="eastAsia" w:ascii="仿宋_GB2312" w:hAnsi="宋体" w:eastAsia="仿宋_GB2312"/>
          <w:b/>
          <w:sz w:val="36"/>
          <w:szCs w:val="36"/>
          <w:lang w:eastAsia="zh-CN"/>
        </w:rPr>
        <w:t>建筑工地</w:t>
      </w:r>
      <w:r>
        <w:rPr>
          <w:rFonts w:hint="eastAsia" w:ascii="仿宋_GB2312" w:hAnsi="宋体" w:eastAsia="仿宋_GB2312"/>
          <w:b/>
          <w:sz w:val="36"/>
          <w:szCs w:val="36"/>
        </w:rPr>
        <w:t>信息化管理有关事项报告书</w:t>
      </w:r>
    </w:p>
    <w:p>
      <w:pPr>
        <w:keepNext w:val="0"/>
        <w:keepLines w:val="0"/>
        <w:pageBreakBefore w:val="0"/>
        <w:widowControl w:val="0"/>
        <w:kinsoku/>
        <w:wordWrap/>
        <w:overflowPunct/>
        <w:topLinePunct w:val="0"/>
        <w:bidi w:val="0"/>
        <w:snapToGrid/>
        <w:spacing w:line="560" w:lineRule="exact"/>
        <w:textAlignment w:val="auto"/>
        <w:rPr>
          <w:rFonts w:ascii="仿宋_GB2312" w:hAnsi="仿宋" w:eastAsia="仿宋_GB2312" w:cs="宋体 ，Arial"/>
          <w:color w:val="000000"/>
          <w:sz w:val="30"/>
          <w:szCs w:val="30"/>
          <w:u w:val="none"/>
        </w:rPr>
      </w:pPr>
      <w:r>
        <w:rPr>
          <w:rFonts w:hint="eastAsia" w:ascii="仿宋_GB2312" w:hAnsi="宋体" w:eastAsia="仿宋_GB2312"/>
          <w:sz w:val="30"/>
          <w:szCs w:val="30"/>
          <w:u w:val="none"/>
        </w:rPr>
        <w:t>建设行政主管部门名称：</w:t>
      </w:r>
    </w:p>
    <w:tbl>
      <w:tblPr>
        <w:tblStyle w:val="7"/>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3"/>
        <w:gridCol w:w="2426"/>
        <w:gridCol w:w="1666"/>
        <w:gridCol w:w="760"/>
        <w:gridCol w:w="663"/>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工程名称</w:t>
            </w:r>
          </w:p>
        </w:tc>
        <w:tc>
          <w:tcPr>
            <w:tcW w:w="7280" w:type="dxa"/>
            <w:gridSpan w:val="5"/>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建设单位</w:t>
            </w:r>
          </w:p>
        </w:tc>
        <w:tc>
          <w:tcPr>
            <w:tcW w:w="4092"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c>
          <w:tcPr>
            <w:tcW w:w="1423"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项目负责</w:t>
            </w:r>
          </w:p>
        </w:tc>
        <w:tc>
          <w:tcPr>
            <w:tcW w:w="1765"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施工单位</w:t>
            </w:r>
          </w:p>
        </w:tc>
        <w:tc>
          <w:tcPr>
            <w:tcW w:w="4092"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c>
          <w:tcPr>
            <w:tcW w:w="1423"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项目经理</w:t>
            </w:r>
          </w:p>
        </w:tc>
        <w:tc>
          <w:tcPr>
            <w:tcW w:w="1765"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监理单位</w:t>
            </w:r>
          </w:p>
        </w:tc>
        <w:tc>
          <w:tcPr>
            <w:tcW w:w="4092"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c>
          <w:tcPr>
            <w:tcW w:w="1423" w:type="dxa"/>
            <w:gridSpan w:val="2"/>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总  监</w:t>
            </w:r>
          </w:p>
        </w:tc>
        <w:tc>
          <w:tcPr>
            <w:tcW w:w="1765"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开工日期</w:t>
            </w:r>
          </w:p>
        </w:tc>
        <w:tc>
          <w:tcPr>
            <w:tcW w:w="4092" w:type="dxa"/>
            <w:gridSpan w:val="2"/>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c>
          <w:tcPr>
            <w:tcW w:w="1423" w:type="dxa"/>
            <w:gridSpan w:val="2"/>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形象进度</w:t>
            </w:r>
          </w:p>
        </w:tc>
        <w:tc>
          <w:tcPr>
            <w:tcW w:w="1765" w:type="dxa"/>
          </w:tcPr>
          <w:p>
            <w:pPr>
              <w:keepNext w:val="0"/>
              <w:keepLines w:val="0"/>
              <w:pageBreakBefore w:val="0"/>
              <w:widowControl w:val="0"/>
              <w:kinsoku/>
              <w:wordWrap/>
              <w:overflowPunct/>
              <w:topLinePunct w:val="0"/>
              <w:bidi w:val="0"/>
              <w:snapToGrid/>
              <w:spacing w:line="560" w:lineRule="exact"/>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设备名称</w:t>
            </w:r>
          </w:p>
        </w:tc>
        <w:tc>
          <w:tcPr>
            <w:tcW w:w="2426"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p>
        </w:tc>
        <w:tc>
          <w:tcPr>
            <w:tcW w:w="2426" w:type="dxa"/>
            <w:gridSpan w:val="2"/>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上次检修日期</w:t>
            </w:r>
          </w:p>
        </w:tc>
        <w:tc>
          <w:tcPr>
            <w:tcW w:w="2428" w:type="dxa"/>
            <w:gridSpan w:val="2"/>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533"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设备型号</w:t>
            </w:r>
          </w:p>
        </w:tc>
        <w:tc>
          <w:tcPr>
            <w:tcW w:w="2426"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p>
        </w:tc>
        <w:tc>
          <w:tcPr>
            <w:tcW w:w="2426" w:type="dxa"/>
            <w:gridSpan w:val="2"/>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发现故障时间</w:t>
            </w:r>
          </w:p>
        </w:tc>
        <w:tc>
          <w:tcPr>
            <w:tcW w:w="2428" w:type="dxa"/>
            <w:gridSpan w:val="2"/>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8" w:hRule="atLeast"/>
          <w:jc w:val="center"/>
        </w:trPr>
        <w:tc>
          <w:tcPr>
            <w:tcW w:w="1533" w:type="dxa"/>
            <w:vAlign w:val="center"/>
          </w:tcPr>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设备故障描述及恢复计划</w:t>
            </w:r>
          </w:p>
        </w:tc>
        <w:tc>
          <w:tcPr>
            <w:tcW w:w="7280" w:type="dxa"/>
            <w:gridSpan w:val="5"/>
          </w:tcPr>
          <w:p>
            <w:pPr>
              <w:keepNext w:val="0"/>
              <w:keepLines w:val="0"/>
              <w:pageBreakBefore w:val="0"/>
              <w:widowControl w:val="0"/>
              <w:kinsoku/>
              <w:wordWrap/>
              <w:overflowPunct/>
              <w:topLinePunct w:val="0"/>
              <w:bidi w:val="0"/>
              <w:snapToGrid/>
              <w:spacing w:line="560" w:lineRule="exact"/>
              <w:jc w:val="left"/>
              <w:textAlignment w:val="auto"/>
              <w:rPr>
                <w:rFonts w:ascii="仿宋_GB2312" w:hAnsi="宋体" w:eastAsia="仿宋_GB2312" w:cs="宋体 ，Arial"/>
                <w:color w:val="000000"/>
                <w:sz w:val="28"/>
                <w:szCs w:val="28"/>
                <w:u w:val="single"/>
              </w:rPr>
            </w:pPr>
            <w:r>
              <w:rPr>
                <w:rFonts w:hint="eastAsia" w:ascii="仿宋_GB2312" w:hAnsi="宋体" w:eastAsia="仿宋_GB2312" w:cs="宋体 ，Arial"/>
                <w:color w:val="000000"/>
                <w:sz w:val="28"/>
                <w:szCs w:val="28"/>
              </w:rPr>
              <w:t xml:space="preserve">    </w:t>
            </w:r>
          </w:p>
        </w:tc>
      </w:tr>
    </w:tbl>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ascii="仿宋_GB2312" w:hAnsi="宋体" w:eastAsia="仿宋_GB2312" w:cs="宋体 ，Arial"/>
          <w:color w:val="000000"/>
          <w:sz w:val="28"/>
          <w:szCs w:val="28"/>
        </w:rPr>
      </w:pPr>
      <w:r>
        <w:rPr>
          <w:rFonts w:hint="eastAsia" w:ascii="仿宋_GB2312" w:hAnsi="宋体" w:eastAsia="仿宋_GB2312" w:cs="宋体 ，Arial"/>
          <w:color w:val="000000"/>
          <w:sz w:val="28"/>
          <w:szCs w:val="28"/>
        </w:rPr>
        <w:t xml:space="preserve">                 报告人：</w:t>
      </w:r>
    </w:p>
    <w:p>
      <w:pPr>
        <w:pStyle w:val="2"/>
        <w:keepNext w:val="0"/>
        <w:keepLines w:val="0"/>
        <w:pageBreakBefore w:val="0"/>
        <w:widowControl w:val="0"/>
        <w:kinsoku/>
        <w:wordWrap/>
        <w:overflowPunct/>
        <w:topLinePunct w:val="0"/>
        <w:bidi w:val="0"/>
        <w:snapToGrid/>
        <w:spacing w:line="560" w:lineRule="exact"/>
        <w:textAlignment w:val="auto"/>
        <w:rPr>
          <w:rFonts w:hint="eastAsia" w:ascii="仿宋_GB2312" w:hAnsi="宋体" w:eastAsia="仿宋_GB2312" w:cs="宋体 ，Arial"/>
          <w:sz w:val="28"/>
          <w:szCs w:val="28"/>
          <w:lang w:val="en-US" w:eastAsia="zh-CN"/>
        </w:rPr>
      </w:pPr>
      <w:r>
        <w:rPr>
          <w:rFonts w:hint="eastAsia" w:ascii="仿宋_GB2312" w:hAnsi="宋体" w:eastAsia="仿宋_GB2312" w:cs="宋体 ，Arial"/>
          <w:sz w:val="28"/>
          <w:szCs w:val="28"/>
        </w:rPr>
        <w:t xml:space="preserve">                                 </w:t>
      </w:r>
      <w:r>
        <w:rPr>
          <w:rFonts w:hint="eastAsia" w:ascii="仿宋_GB2312" w:hAnsi="宋体" w:eastAsia="仿宋_GB2312" w:cs="宋体 ，Arial"/>
          <w:sz w:val="28"/>
          <w:szCs w:val="28"/>
          <w:lang w:val="en-US" w:eastAsia="zh-CN"/>
        </w:rPr>
        <w:t xml:space="preserve"> </w:t>
      </w:r>
      <w:r>
        <w:rPr>
          <w:rFonts w:hint="eastAsia" w:ascii="仿宋_GB2312" w:hAnsi="宋体" w:eastAsia="仿宋_GB2312" w:cs="宋体 ，Arial"/>
          <w:sz w:val="28"/>
          <w:szCs w:val="28"/>
        </w:rPr>
        <w:t xml:space="preserve"> 日  期：</w:t>
      </w:r>
    </w:p>
    <w:sectPr>
      <w:pgSz w:w="11906" w:h="16838"/>
      <w:pgMar w:top="1667" w:right="1689" w:bottom="1667"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 ，Arial">
    <w:altName w:val="宋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DAE7F"/>
    <w:multiLevelType w:val="singleLevel"/>
    <w:tmpl w:val="1FBDAE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YzNjNmMDVhNDcwZjk5OTRjZmI5NzJlMzM0MWQyOWMifQ=="/>
  </w:docVars>
  <w:rsids>
    <w:rsidRoot w:val="54F34196"/>
    <w:rsid w:val="00043D8E"/>
    <w:rsid w:val="00091312"/>
    <w:rsid w:val="000C0CB3"/>
    <w:rsid w:val="001B1E99"/>
    <w:rsid w:val="00267241"/>
    <w:rsid w:val="004B26BE"/>
    <w:rsid w:val="004C0F4B"/>
    <w:rsid w:val="005E2275"/>
    <w:rsid w:val="00610E46"/>
    <w:rsid w:val="00700437"/>
    <w:rsid w:val="007365E8"/>
    <w:rsid w:val="007605C6"/>
    <w:rsid w:val="007C2281"/>
    <w:rsid w:val="007D154C"/>
    <w:rsid w:val="008641EB"/>
    <w:rsid w:val="00A62D23"/>
    <w:rsid w:val="00BA5BD6"/>
    <w:rsid w:val="00C01CB2"/>
    <w:rsid w:val="00C147BC"/>
    <w:rsid w:val="00C5357A"/>
    <w:rsid w:val="00C558C5"/>
    <w:rsid w:val="00C64BB3"/>
    <w:rsid w:val="00E1186D"/>
    <w:rsid w:val="00E15766"/>
    <w:rsid w:val="00E23618"/>
    <w:rsid w:val="00F16600"/>
    <w:rsid w:val="00F26077"/>
    <w:rsid w:val="00FA0BA4"/>
    <w:rsid w:val="00FB2352"/>
    <w:rsid w:val="00FC557D"/>
    <w:rsid w:val="128A49AC"/>
    <w:rsid w:val="1CFF3249"/>
    <w:rsid w:val="1FB75977"/>
    <w:rsid w:val="37FFE16A"/>
    <w:rsid w:val="3A5C4279"/>
    <w:rsid w:val="47FF9B34"/>
    <w:rsid w:val="54F34196"/>
    <w:rsid w:val="5A6726E5"/>
    <w:rsid w:val="5DEFA977"/>
    <w:rsid w:val="6FE7586F"/>
    <w:rsid w:val="737F274A"/>
    <w:rsid w:val="75C32A1B"/>
    <w:rsid w:val="775E8D4B"/>
    <w:rsid w:val="7BF65848"/>
    <w:rsid w:val="BFB620F4"/>
    <w:rsid w:val="EFF76D6A"/>
    <w:rsid w:val="FBFDDAC6"/>
    <w:rsid w:val="FD7E2556"/>
    <w:rsid w:val="FDFE1FD8"/>
    <w:rsid w:val="FEAB6E7A"/>
    <w:rsid w:val="FF1FCDCE"/>
    <w:rsid w:val="FF3F3A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Indent"/>
    <w:basedOn w:val="1"/>
    <w:link w:val="9"/>
    <w:qFormat/>
    <w:uiPriority w:val="0"/>
    <w:pPr>
      <w:spacing w:after="120"/>
      <w:ind w:left="420" w:leftChars="200"/>
    </w:pPr>
  </w:style>
  <w:style w:type="paragraph" w:styleId="4">
    <w:name w:val="Normal (Web)"/>
    <w:basedOn w:val="1"/>
    <w:qFormat/>
    <w:uiPriority w:val="99"/>
    <w:pPr>
      <w:widowControl/>
      <w:spacing w:before="100" w:beforeAutospacing="1" w:after="100" w:afterAutospacing="1"/>
    </w:pPr>
    <w:rPr>
      <w:rFonts w:ascii="宋体" w:hAnsi="宋体" w:cs="宋体"/>
      <w:color w:val="000000"/>
    </w:rPr>
  </w:style>
  <w:style w:type="paragraph" w:styleId="5">
    <w:name w:val="Body Text First Indent 2"/>
    <w:basedOn w:val="3"/>
    <w:link w:val="10"/>
    <w:unhideWhenUsed/>
    <w:qFormat/>
    <w:uiPriority w:val="99"/>
    <w:pPr>
      <w:ind w:firstLine="420" w:firstLineChars="200"/>
    </w:pPr>
    <w:rPr>
      <w:rFonts w:ascii="Times New Roman" w:hAnsi="Times New Roman" w:eastAsia="宋体"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缩进 Char"/>
    <w:basedOn w:val="8"/>
    <w:link w:val="3"/>
    <w:qFormat/>
    <w:uiPriority w:val="0"/>
    <w:rPr>
      <w:kern w:val="2"/>
      <w:sz w:val="21"/>
      <w:szCs w:val="24"/>
    </w:rPr>
  </w:style>
  <w:style w:type="character" w:customStyle="1" w:styleId="10">
    <w:name w:val="正文首行缩进 2 Char"/>
    <w:basedOn w:val="9"/>
    <w:link w:val="5"/>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1991</Words>
  <Characters>1993</Characters>
  <Lines>17</Lines>
  <Paragraphs>4</Paragraphs>
  <TotalTime>1</TotalTime>
  <ScaleCrop>false</ScaleCrop>
  <LinksUpToDate>false</LinksUpToDate>
  <CharactersWithSpaces>2077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2022-12-14T07:29:00Z</dcterms:created>
  <dc:creator>李师傅白面包</dc:creator>
  <cp:lastModifiedBy>曹小刀（十万个为什么）</cp:lastModifiedBy>
  <cp:lastPrinted>2022-12-27T06:35:00Z</cp:lastPrinted>
  <dcterms:modified xsi:type="dcterms:W3CDTF">2022-12-27T01:16:56Z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C26B3D06EC504B5A85FFF2DFFB4A420F</vt:lpwstr>
  </property>
  <property fmtid="{D5CDD505-2E9C-101B-9397-08002B2CF9AE}" pid="4" name="woTemplateTypoMode" linkTarget="0">
    <vt:lpwstr>web</vt:lpwstr>
  </property>
  <property fmtid="{D5CDD505-2E9C-101B-9397-08002B2CF9AE}" pid="5" name="woTemplate" linkTarget="0">
    <vt:i4>1</vt:i4>
  </property>
</Properties>
</file>