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宁波</w:t>
      </w:r>
      <w:r>
        <w:rPr>
          <w:rFonts w:hint="eastAsia" w:ascii="方正小标宋简体" w:hAnsi="方正小标宋简体" w:eastAsia="方正小标宋简体" w:cs="方正小标宋简体"/>
          <w:sz w:val="44"/>
          <w:szCs w:val="44"/>
          <w:lang w:val="en-US" w:eastAsia="zh-CN"/>
        </w:rPr>
        <w:t>市</w:t>
      </w:r>
      <w:r>
        <w:rPr>
          <w:rFonts w:hint="eastAsia" w:ascii="方正小标宋简体" w:hAnsi="方正小标宋简体" w:eastAsia="方正小标宋简体" w:cs="方正小标宋简体"/>
          <w:sz w:val="44"/>
          <w:szCs w:val="44"/>
          <w:lang w:eastAsia="zh-CN"/>
        </w:rPr>
        <w:t>鼓励和引导总部经济发展实施细则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为鼓励和引导总部经济发展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加快形成总部经济的规模集聚效应，带动产业转型升级，提高企业资源配置能力，提升城市服务能级，进一步</w:t>
      </w:r>
      <w:r>
        <w:rPr>
          <w:rFonts w:hint="eastAsia" w:ascii="仿宋_GB2312" w:hAnsi="仿宋_GB2312" w:eastAsia="仿宋_GB2312" w:cs="仿宋_GB2312"/>
          <w:sz w:val="32"/>
          <w:szCs w:val="32"/>
        </w:rPr>
        <w:t>推动全市经济高质量发展</w:t>
      </w:r>
      <w:r>
        <w:rPr>
          <w:rFonts w:hint="eastAsia" w:ascii="仿宋_GB2312" w:hAnsi="仿宋_GB2312" w:eastAsia="仿宋_GB2312" w:cs="仿宋_GB2312"/>
          <w:sz w:val="32"/>
          <w:szCs w:val="32"/>
          <w:lang w:eastAsia="zh-CN"/>
        </w:rPr>
        <w:t>，特制定本实施细则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全面贯彻党的十九大精神，以习近平新时代中国特色社会主义思想为指导，按照市委、市政府“246”万千亿级产业集群培育、“225”外贸双万亿行动和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w:t>
      </w:r>
      <w:r>
        <w:rPr>
          <w:rFonts w:hint="eastAsia" w:ascii="仿宋_GB2312" w:hAnsi="仿宋_GB2312" w:eastAsia="仿宋_GB2312" w:cs="仿宋_GB2312"/>
          <w:sz w:val="32"/>
          <w:szCs w:val="32"/>
          <w:lang w:val="en-US" w:eastAsia="zh-CN"/>
        </w:rPr>
        <w:t>倍增发展</w:t>
      </w:r>
      <w:r>
        <w:rPr>
          <w:rFonts w:hint="eastAsia" w:ascii="仿宋_GB2312" w:hAnsi="仿宋_GB2312" w:eastAsia="仿宋_GB2312" w:cs="仿宋_GB2312"/>
          <w:sz w:val="32"/>
          <w:szCs w:val="32"/>
        </w:rPr>
        <w:t>的决策部署，以集聚一批契合宁波发展战略、占据产业链高端的引领型总部为重点，用最优资源高标准引进、培育和壮大一批总部企业，推动总部企业能级提升和高端引领，努力建成长三角乃至全国总部经济标杆城市和总部生态最优市。力争到2022年，总部数量超过800家，力争达到1000家，实现三年翻一番，总部经济对宁波经济增长贡献度超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二、标准条件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细则</w:t>
      </w:r>
      <w:r>
        <w:rPr>
          <w:rFonts w:hint="eastAsia" w:ascii="仿宋_GB2312" w:hAnsi="仿宋_GB2312" w:eastAsia="仿宋_GB2312" w:cs="仿宋_GB2312"/>
          <w:sz w:val="32"/>
          <w:szCs w:val="32"/>
        </w:rPr>
        <w:t>所指总部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分为企业类总部、机构类总部、事业类总部、新兴类总部四类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并按以下标准条件进行认定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基本标准。</w:t>
      </w:r>
      <w:r>
        <w:rPr>
          <w:rFonts w:hint="eastAsia" w:ascii="仿宋_GB2312" w:hAnsi="仿宋_GB2312" w:eastAsia="仿宋_GB2312" w:cs="仿宋_GB2312"/>
          <w:sz w:val="32"/>
          <w:szCs w:val="32"/>
        </w:rPr>
        <w:t>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工商注册、税务登记和统计关系均在</w:t>
      </w:r>
      <w:r>
        <w:rPr>
          <w:rFonts w:hint="eastAsia" w:ascii="仿宋_GB2312" w:hAnsi="仿宋_GB2312" w:eastAsia="仿宋_GB2312" w:cs="仿宋_GB2312"/>
          <w:sz w:val="32"/>
          <w:szCs w:val="32"/>
          <w:lang w:eastAsia="zh-CN"/>
        </w:rPr>
        <w:t>宁波</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本地</w:t>
      </w:r>
      <w:r>
        <w:rPr>
          <w:rFonts w:hint="eastAsia" w:ascii="仿宋_GB2312" w:hAnsi="仿宋_GB2312" w:eastAsia="仿宋_GB2312" w:cs="仿宋_GB2312"/>
          <w:sz w:val="32"/>
          <w:szCs w:val="32"/>
        </w:rPr>
        <w:t>产业发展</w:t>
      </w:r>
      <w:r>
        <w:rPr>
          <w:rFonts w:hint="eastAsia" w:ascii="仿宋_GB2312" w:hAnsi="仿宋_GB2312" w:eastAsia="仿宋_GB2312" w:cs="仿宋_GB2312"/>
          <w:sz w:val="32"/>
          <w:szCs w:val="32"/>
          <w:lang w:eastAsia="zh-CN"/>
        </w:rPr>
        <w:t>导向。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分类认定。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1.企业类总部。</w:t>
      </w:r>
      <w:r>
        <w:rPr>
          <w:rFonts w:hint="eastAsia" w:ascii="仿宋_GB2312" w:hAnsi="仿宋_GB2312" w:eastAsia="仿宋_GB2312" w:cs="仿宋_GB2312"/>
          <w:sz w:val="32"/>
          <w:szCs w:val="32"/>
        </w:rPr>
        <w:t>对一定区域内的企业行使投资控股、运营决策、集中销售、财务结算等总部管理和服务职能</w:t>
      </w:r>
      <w:r>
        <w:rPr>
          <w:rFonts w:hint="eastAsia" w:ascii="仿宋_GB2312" w:hAnsi="仿宋_GB2312" w:eastAsia="仿宋_GB2312" w:cs="仿宋_GB2312"/>
          <w:sz w:val="32"/>
          <w:szCs w:val="32"/>
          <w:lang w:eastAsia="zh-CN"/>
        </w:rPr>
        <w:t>，在上年末净资产达到1亿元人民币、上年度营业收入（销售收入）超过10亿元人民币企业，且在宁波市外拥有2个（含）以上分支机构。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2.机构类总部</w:t>
      </w:r>
      <w:r>
        <w:rPr>
          <w:rFonts w:hint="eastAsia" w:ascii="仿宋_GB2312" w:hAnsi="仿宋_GB2312" w:eastAsia="仿宋_GB2312" w:cs="仿宋_GB2312"/>
          <w:sz w:val="32"/>
          <w:szCs w:val="32"/>
          <w:lang w:val="en-US" w:eastAsia="zh-CN"/>
        </w:rPr>
        <w:t>。经总公司（母公司）授权，为母公司内关联企业提供研发、物流、采购、销售、结算、财务、信息处理等职能或其他支持型共享职能服务。上年末净资产总额达到5000万元人民币、上年度营业收入（销售收入）超过5亿元人民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3.事业类总部。</w:t>
      </w:r>
      <w:r>
        <w:rPr>
          <w:rFonts w:hint="eastAsia" w:ascii="仿宋_GB2312" w:hAnsi="仿宋_GB2312" w:eastAsia="仿宋_GB2312" w:cs="仿宋_GB2312"/>
          <w:sz w:val="32"/>
          <w:szCs w:val="32"/>
          <w:lang w:val="en-US" w:eastAsia="zh-CN"/>
        </w:rPr>
        <w:t>企业经营产业涵盖教育、卫生、文化、体育和娱乐业等服务事业类领域，年营业收入5000万元以上,年税收200万元以上。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4.新兴类总部。</w:t>
      </w:r>
      <w:r>
        <w:rPr>
          <w:rFonts w:hint="eastAsia" w:ascii="仿宋_GB2312" w:hAnsi="仿宋_GB2312" w:eastAsia="仿宋_GB2312" w:cs="仿宋_GB2312"/>
          <w:sz w:val="32"/>
          <w:szCs w:val="32"/>
          <w:lang w:val="en-US" w:eastAsia="zh-CN"/>
        </w:rPr>
        <w:t>企业经营产业涵盖数字经济、平台经济、共享经济、文创科创、投资基金等新兴领域，上年营业收入或上年末净资产或上年税收贡献排名全市前十，且同一指标认定前两年增速连续超过30%。另外，估值超过10亿元及以上的瞪羚企业、潜在独角兽企业可认定为新兴类总部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（三）直接认定。</w:t>
      </w:r>
      <w:r>
        <w:rPr>
          <w:rFonts w:hint="eastAsia" w:ascii="仿宋_GB2312" w:hAnsi="仿宋_GB2312" w:eastAsia="仿宋_GB2312" w:cs="仿宋_GB2312"/>
          <w:sz w:val="32"/>
          <w:szCs w:val="32"/>
          <w:lang w:val="en-US" w:eastAsia="zh-CN"/>
        </w:rPr>
        <w:t>符合以下条件之一的，可直接认定为总部企业（机构）。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（1）世界500强企业及其分支机构；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（2）入围中国500强、制造业500强、服务业500强企业；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（3）入围中国民营企业500强、民营制造业500强、民营服务业100强企业；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（4）本地上市公司。</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三、认定流程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市服务业局</w:t>
      </w:r>
      <w:r>
        <w:rPr>
          <w:rFonts w:hint="eastAsia" w:ascii="楷体_GB2312" w:hAnsi="楷体_GB2312" w:eastAsia="楷体_GB2312" w:cs="楷体_GB2312"/>
          <w:sz w:val="32"/>
          <w:szCs w:val="32"/>
        </w:rPr>
        <w:t>会同</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经信</w:t>
      </w:r>
      <w:r>
        <w:rPr>
          <w:rFonts w:hint="eastAsia" w:ascii="楷体_GB2312" w:hAnsi="楷体_GB2312" w:eastAsia="楷体_GB2312" w:cs="楷体_GB2312"/>
          <w:sz w:val="32"/>
          <w:szCs w:val="32"/>
          <w:lang w:eastAsia="zh-CN"/>
        </w:rPr>
        <w:t>局、市</w:t>
      </w:r>
      <w:r>
        <w:rPr>
          <w:rFonts w:hint="eastAsia" w:ascii="楷体_GB2312" w:hAnsi="楷体_GB2312" w:eastAsia="楷体_GB2312" w:cs="楷体_GB2312"/>
          <w:sz w:val="32"/>
          <w:szCs w:val="32"/>
        </w:rPr>
        <w:t>商务</w:t>
      </w:r>
      <w:r>
        <w:rPr>
          <w:rFonts w:hint="eastAsia" w:ascii="楷体_GB2312" w:hAnsi="楷体_GB2312" w:eastAsia="楷体_GB2312" w:cs="楷体_GB2312"/>
          <w:sz w:val="32"/>
          <w:szCs w:val="32"/>
          <w:lang w:val="en-US" w:eastAsia="zh-CN"/>
        </w:rPr>
        <w:t>局、市市场监管局、市金融办、市统计局、宁波市税务局</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工商联</w:t>
      </w:r>
      <w:r>
        <w:rPr>
          <w:rFonts w:hint="eastAsia" w:ascii="楷体_GB2312" w:hAnsi="楷体_GB2312" w:eastAsia="楷体_GB2312" w:cs="楷体_GB2312"/>
          <w:sz w:val="32"/>
          <w:szCs w:val="32"/>
          <w:lang w:val="en-US" w:eastAsia="zh-CN"/>
        </w:rPr>
        <w:t>等部门</w:t>
      </w:r>
      <w:r>
        <w:rPr>
          <w:rFonts w:hint="eastAsia" w:ascii="楷体_GB2312" w:hAnsi="楷体_GB2312" w:eastAsia="楷体_GB2312" w:cs="楷体_GB2312"/>
          <w:sz w:val="32"/>
          <w:szCs w:val="32"/>
        </w:rPr>
        <w:t>开展总部企业的认定工作。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其他市级部门在各自职责范围内做好对总部企业的管理服务工作。各区县（市）对辖区内总部企业做好服务促进工作。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）总部</w:t>
      </w:r>
      <w:r>
        <w:rPr>
          <w:rFonts w:hint="eastAsia" w:ascii="楷体_GB2312" w:hAnsi="楷体_GB2312" w:eastAsia="楷体_GB2312" w:cs="楷体_GB2312"/>
          <w:sz w:val="32"/>
          <w:szCs w:val="32"/>
          <w:lang w:eastAsia="zh-CN"/>
        </w:rPr>
        <w:t>企业</w:t>
      </w:r>
      <w:r>
        <w:rPr>
          <w:rFonts w:hint="eastAsia" w:ascii="楷体_GB2312" w:hAnsi="楷体_GB2312" w:eastAsia="楷体_GB2312" w:cs="楷体_GB2312"/>
          <w:sz w:val="32"/>
          <w:szCs w:val="32"/>
        </w:rPr>
        <w:t>的认定，按下列程序进行</w:t>
      </w:r>
      <w:r>
        <w:rPr>
          <w:rFonts w:hint="eastAsia" w:ascii="楷体_GB2312" w:hAnsi="楷体_GB2312" w:eastAsia="楷体_GB2312" w:cs="楷体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1.企业（机构）按照要求向注册地的服务业主管部门提出申请；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2.各区县（市）服务业主管部门会同有关部门对申请材料进行核验，并报市服务业局；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3.市服务业局会同有关部门进行汇总确认，并由市工商联向社会公告。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4.具体申报流程另行通知。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直接认定程序。</w:t>
      </w:r>
      <w:r>
        <w:rPr>
          <w:rFonts w:hint="eastAsia" w:ascii="Times New Roman" w:hAnsi="Times New Roman" w:eastAsia="仿宋_GB2312" w:cs="Times New Roman"/>
          <w:sz w:val="32"/>
          <w:szCs w:val="32"/>
          <w:lang w:eastAsia="zh-CN"/>
        </w:rPr>
        <w:t>对符合满足本细则第（三）款条件的企业予以直接认定（以当年度《财富》和全国工商联发布为准）。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（七）各区县（市）对已认定的总部企业实行动态评估</w:t>
      </w:r>
      <w:r>
        <w:rPr>
          <w:rFonts w:hint="eastAsia" w:ascii="楷体_GB2312" w:hAnsi="楷体_GB2312" w:eastAsia="楷体_GB2312" w:cs="楷体_GB2312"/>
          <w:sz w:val="32"/>
          <w:szCs w:val="32"/>
          <w:lang w:eastAsia="zh-CN"/>
        </w:rPr>
        <w:t>。</w:t>
      </w:r>
      <w:r>
        <w:rPr>
          <w:rFonts w:hint="eastAsia" w:ascii="Times New Roman" w:hAnsi="Times New Roman" w:eastAsia="仿宋_GB2312" w:cs="Times New Roman"/>
          <w:kern w:val="2"/>
          <w:sz w:val="32"/>
          <w:szCs w:val="32"/>
          <w:lang w:val="en-US" w:eastAsia="zh-CN" w:bidi="ar-SA"/>
        </w:rPr>
        <w:t>对不再满足认定条件的，或存在违法犯罪行为、信用严重缺失等现象的，及时上报有关部门，由</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工商联</w:t>
      </w:r>
      <w:r>
        <w:rPr>
          <w:rFonts w:hint="eastAsia" w:ascii="Times New Roman" w:hAnsi="Times New Roman" w:eastAsia="仿宋_GB2312" w:cs="Times New Roman"/>
          <w:kern w:val="2"/>
          <w:sz w:val="32"/>
          <w:szCs w:val="32"/>
          <w:lang w:val="en-US" w:eastAsia="zh-CN" w:bidi="ar-SA"/>
        </w:rPr>
        <w:t>取消认定并予以公告。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、政策引导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）发挥各</w:t>
      </w:r>
      <w:r>
        <w:rPr>
          <w:rFonts w:hint="eastAsia" w:ascii="楷体_GB2312" w:hAnsi="楷体_GB2312" w:eastAsia="楷体_GB2312" w:cs="楷体_GB2312"/>
          <w:sz w:val="32"/>
          <w:szCs w:val="32"/>
          <w:lang w:eastAsia="zh-CN"/>
        </w:rPr>
        <w:t>区县（</w:t>
      </w: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积极性。</w:t>
      </w:r>
      <w:r>
        <w:rPr>
          <w:rFonts w:hint="eastAsia" w:eastAsia="仿宋_GB2312"/>
          <w:sz w:val="32"/>
          <w:szCs w:val="32"/>
        </w:rPr>
        <w:t>各</w:t>
      </w:r>
      <w:r>
        <w:rPr>
          <w:rFonts w:hint="eastAsia" w:eastAsia="仿宋_GB2312"/>
          <w:sz w:val="32"/>
          <w:szCs w:val="32"/>
          <w:lang w:eastAsia="zh-CN"/>
        </w:rPr>
        <w:t>区县（</w:t>
      </w:r>
      <w:r>
        <w:rPr>
          <w:rFonts w:hint="eastAsia" w:eastAsia="仿宋_GB2312"/>
          <w:sz w:val="32"/>
          <w:szCs w:val="32"/>
        </w:rPr>
        <w:t>市</w:t>
      </w:r>
      <w:r>
        <w:rPr>
          <w:rFonts w:hint="eastAsia" w:eastAsia="仿宋_GB2312"/>
          <w:sz w:val="32"/>
          <w:szCs w:val="32"/>
          <w:lang w:eastAsia="zh-CN"/>
        </w:rPr>
        <w:t>）</w:t>
      </w:r>
      <w:r>
        <w:rPr>
          <w:rFonts w:hint="eastAsia" w:eastAsia="仿宋_GB2312"/>
          <w:sz w:val="32"/>
          <w:szCs w:val="32"/>
        </w:rPr>
        <w:t>要积</w:t>
      </w:r>
      <w:r>
        <w:rPr>
          <w:rFonts w:hint="eastAsia" w:ascii="仿宋_GB2312" w:hAnsi="Times New Roman" w:eastAsia="仿宋_GB2312" w:cs="黑体"/>
          <w:sz w:val="32"/>
          <w:szCs w:val="32"/>
        </w:rPr>
        <w:t>极加大对总部经济发展的支持力度，</w:t>
      </w:r>
      <w:r>
        <w:rPr>
          <w:rFonts w:hint="eastAsia" w:eastAsia="仿宋_GB2312"/>
          <w:sz w:val="32"/>
          <w:szCs w:val="32"/>
        </w:rPr>
        <w:t>对辖区内</w:t>
      </w:r>
      <w:r>
        <w:rPr>
          <w:rFonts w:hint="eastAsia" w:eastAsia="仿宋_GB2312"/>
          <w:sz w:val="32"/>
          <w:szCs w:val="32"/>
          <w:lang w:eastAsia="zh-CN"/>
        </w:rPr>
        <w:t>总部企业</w:t>
      </w:r>
      <w:r>
        <w:rPr>
          <w:rFonts w:hint="eastAsia" w:eastAsia="仿宋_GB2312"/>
          <w:sz w:val="32"/>
          <w:szCs w:val="32"/>
        </w:rPr>
        <w:t>提升服务质量，并推动承接更多的</w:t>
      </w:r>
      <w:r>
        <w:rPr>
          <w:rFonts w:hint="eastAsia" w:eastAsia="仿宋_GB2312"/>
          <w:sz w:val="32"/>
          <w:szCs w:val="32"/>
          <w:lang w:eastAsia="zh-CN"/>
        </w:rPr>
        <w:t>市</w:t>
      </w:r>
      <w:r>
        <w:rPr>
          <w:rFonts w:hint="eastAsia" w:eastAsia="仿宋_GB2312"/>
          <w:sz w:val="32"/>
          <w:szCs w:val="32"/>
        </w:rPr>
        <w:t>外境外</w:t>
      </w:r>
      <w:r>
        <w:rPr>
          <w:rFonts w:hint="eastAsia" w:eastAsia="仿宋_GB2312"/>
          <w:sz w:val="32"/>
          <w:szCs w:val="32"/>
          <w:lang w:eastAsia="zh-CN"/>
        </w:rPr>
        <w:t>总部企业</w:t>
      </w:r>
      <w:r>
        <w:rPr>
          <w:rFonts w:hint="eastAsia" w:eastAsia="仿宋_GB2312"/>
          <w:sz w:val="32"/>
          <w:szCs w:val="32"/>
        </w:rPr>
        <w:t>落户本地。</w:t>
      </w:r>
      <w:r>
        <w:rPr>
          <w:rFonts w:hint="eastAsia" w:ascii="仿宋_GB2312" w:hAnsi="Times New Roman" w:eastAsia="仿宋_GB2312" w:cs="黑体"/>
          <w:sz w:val="32"/>
          <w:szCs w:val="32"/>
        </w:rPr>
        <w:t>对带动产业结构调整、就业及税收贡献突出、提升区域竞争力的</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，可研究制定相应激励措施，进一步放大政策叠加效应。对</w:t>
      </w:r>
      <w:r>
        <w:rPr>
          <w:rFonts w:hint="eastAsia" w:ascii="Times New Roman" w:hAnsi="Times New Roman" w:eastAsia="仿宋_GB2312" w:cs="Times New Roman"/>
          <w:sz w:val="32"/>
          <w:szCs w:val="32"/>
        </w:rPr>
        <w:t>重点</w:t>
      </w:r>
      <w:r>
        <w:rPr>
          <w:rFonts w:hint="eastAsia" w:ascii="仿宋_GB2312" w:hAnsi="Times New Roman" w:eastAsia="仿宋_GB2312" w:cs="黑体"/>
          <w:sz w:val="32"/>
          <w:szCs w:val="32"/>
          <w:lang w:eastAsia="zh-CN"/>
        </w:rPr>
        <w:t>总部企业</w:t>
      </w:r>
      <w:r>
        <w:rPr>
          <w:rFonts w:hint="eastAsia" w:ascii="仿宋_GB2312" w:eastAsia="仿宋_GB2312"/>
          <w:color w:val="000000"/>
          <w:sz w:val="32"/>
          <w:szCs w:val="32"/>
        </w:rPr>
        <w:t>可以采取“一事一议”的方式，</w:t>
      </w:r>
      <w:r>
        <w:rPr>
          <w:rFonts w:hint="eastAsia" w:ascii="仿宋_GB2312" w:hAnsi="Times New Roman" w:eastAsia="仿宋_GB2312" w:cs="黑体"/>
          <w:sz w:val="32"/>
          <w:szCs w:val="32"/>
        </w:rPr>
        <w:t>施行“一企一策”。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Times New Roman" w:eastAsia="仿宋_GB2312" w:cs="黑体"/>
          <w:kern w:val="2"/>
          <w:sz w:val="32"/>
          <w:szCs w:val="32"/>
          <w:lang w:val="en-US" w:eastAsia="zh-CN" w:bidi="ar-SA"/>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）营商环境优化。</w:t>
      </w:r>
      <w:r>
        <w:rPr>
          <w:rFonts w:hint="eastAsia" w:ascii="仿宋_GB2312" w:hAnsi="Times New Roman" w:eastAsia="仿宋_GB2312" w:cs="黑体"/>
          <w:kern w:val="2"/>
          <w:sz w:val="32"/>
          <w:szCs w:val="32"/>
          <w:lang w:val="en-US" w:eastAsia="zh-CN" w:bidi="ar-SA"/>
        </w:rPr>
        <w:t>各区县（市）要营造有利于总部企业发展的营商环境，积极组织人力资源机构对接服务总部企业，提高有效的市场化人才服务水平，对总部企业的高级管理人员、专业人才在居留落户、社会保险、医疗保障、人才安居、子女入学等方面提供便利。各地政府和有关部门要通过“最多跑一次”、精简办事流程等方式为总部企业重大建设项目审批提供便利服务，对所需水、电、气、热、通信等公共设施应予以积极支持、统筹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黑体"/>
          <w:sz w:val="32"/>
          <w:szCs w:val="32"/>
        </w:rPr>
      </w:pPr>
      <w:r>
        <w:rPr>
          <w:rFonts w:hint="eastAsia" w:ascii="楷体_GB2312" w:hAnsi="楷体_GB2312" w:eastAsia="楷体_GB2312" w:cs="楷体_GB2312"/>
          <w:sz w:val="32"/>
          <w:szCs w:val="32"/>
        </w:rPr>
        <w:t>（十）产业生态构建。</w:t>
      </w:r>
      <w:r>
        <w:rPr>
          <w:rFonts w:hint="eastAsia" w:eastAsia="仿宋_GB2312"/>
          <w:sz w:val="32"/>
          <w:szCs w:val="32"/>
          <w:lang w:eastAsia="zh-CN"/>
        </w:rPr>
        <w:t>各区县（市）</w:t>
      </w:r>
      <w:r>
        <w:rPr>
          <w:rFonts w:hint="eastAsia" w:ascii="仿宋_GB2312" w:hAnsi="Times New Roman" w:eastAsia="仿宋_GB2312" w:cs="黑体"/>
          <w:sz w:val="32"/>
          <w:szCs w:val="32"/>
        </w:rPr>
        <w:t>要围绕</w:t>
      </w:r>
      <w:r>
        <w:rPr>
          <w:rFonts w:hint="eastAsia" w:ascii="仿宋_GB2312" w:hAnsi="仿宋_GB2312" w:eastAsia="仿宋_GB2312" w:cs="仿宋_GB2312"/>
          <w:sz w:val="32"/>
          <w:szCs w:val="32"/>
        </w:rPr>
        <w:t>“246”万千亿级产业集群培育、“225”外贸双万亿行动和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w:t>
      </w:r>
      <w:r>
        <w:rPr>
          <w:rFonts w:hint="eastAsia" w:ascii="仿宋_GB2312" w:hAnsi="仿宋_GB2312" w:eastAsia="仿宋_GB2312" w:cs="仿宋_GB2312"/>
          <w:sz w:val="32"/>
          <w:szCs w:val="32"/>
          <w:lang w:val="en-US" w:eastAsia="zh-CN"/>
        </w:rPr>
        <w:t>倍增</w:t>
      </w:r>
      <w:r>
        <w:rPr>
          <w:rFonts w:hint="eastAsia" w:ascii="仿宋_GB2312" w:hAnsi="仿宋_GB2312" w:eastAsia="仿宋_GB2312" w:cs="仿宋_GB2312"/>
          <w:sz w:val="32"/>
          <w:szCs w:val="32"/>
        </w:rPr>
        <w:t>发展的决策部署，</w:t>
      </w:r>
      <w:r>
        <w:rPr>
          <w:rFonts w:hint="eastAsia" w:ascii="仿宋_GB2312" w:hAnsi="Times New Roman" w:eastAsia="仿宋_GB2312" w:cs="黑体"/>
          <w:sz w:val="32"/>
          <w:szCs w:val="32"/>
        </w:rPr>
        <w:t>积极构建产业生态系统，引导</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向各类产业集聚区、产业园区、万亩千亿新产业平台、特色小镇等产业平台集聚，着力提升总部经济承载能力。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黑体"/>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）区域布局。</w:t>
      </w:r>
      <w:r>
        <w:rPr>
          <w:rFonts w:hint="eastAsia" w:ascii="仿宋_GB2312" w:hAnsi="Times New Roman" w:eastAsia="仿宋_GB2312" w:cs="黑体"/>
          <w:sz w:val="32"/>
          <w:szCs w:val="32"/>
        </w:rPr>
        <w:t>积极推进</w:t>
      </w:r>
      <w:r>
        <w:rPr>
          <w:rFonts w:hint="eastAsia" w:ascii="仿宋_GB2312" w:hAnsi="Times New Roman" w:eastAsia="仿宋_GB2312" w:cs="黑体"/>
          <w:sz w:val="32"/>
          <w:szCs w:val="32"/>
          <w:lang w:eastAsia="zh-CN"/>
        </w:rPr>
        <w:t>我市总部企业</w:t>
      </w:r>
      <w:r>
        <w:rPr>
          <w:rFonts w:hint="eastAsia" w:ascii="仿宋_GB2312" w:hAnsi="Times New Roman" w:eastAsia="仿宋_GB2312" w:cs="黑体"/>
          <w:sz w:val="32"/>
          <w:szCs w:val="32"/>
        </w:rPr>
        <w:t>基地建设，引导</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集聚发展，总部经济的重点区域布局要突出</w:t>
      </w:r>
      <w:r>
        <w:rPr>
          <w:rFonts w:hint="eastAsia" w:ascii="仿宋_GB2312" w:hAnsi="Times New Roman" w:eastAsia="仿宋_GB2312" w:cs="黑体"/>
          <w:sz w:val="32"/>
          <w:szCs w:val="32"/>
          <w:lang w:eastAsia="zh-CN"/>
        </w:rPr>
        <w:t>海曙、江北、鄞州等中心城区</w:t>
      </w:r>
      <w:r>
        <w:rPr>
          <w:rFonts w:hint="eastAsia" w:ascii="仿宋_GB2312" w:hAnsi="Times New Roman" w:eastAsia="仿宋_GB2312" w:cs="黑体"/>
          <w:sz w:val="32"/>
          <w:szCs w:val="32"/>
        </w:rPr>
        <w:t>。其他</w:t>
      </w:r>
      <w:r>
        <w:rPr>
          <w:rFonts w:hint="eastAsia" w:ascii="仿宋_GB2312" w:hAnsi="Times New Roman" w:eastAsia="仿宋_GB2312" w:cs="黑体"/>
          <w:sz w:val="32"/>
          <w:szCs w:val="32"/>
          <w:lang w:eastAsia="zh-CN"/>
        </w:rPr>
        <w:t>区县（市）</w:t>
      </w:r>
      <w:r>
        <w:rPr>
          <w:rFonts w:hint="eastAsia" w:ascii="仿宋_GB2312" w:hAnsi="Times New Roman" w:eastAsia="仿宋_GB2312" w:cs="黑体"/>
          <w:sz w:val="32"/>
          <w:szCs w:val="32"/>
        </w:rPr>
        <w:t>要因地制宜，</w:t>
      </w:r>
      <w:r>
        <w:rPr>
          <w:rFonts w:hint="eastAsia" w:ascii="仿宋_GB2312" w:hAnsi="Times New Roman" w:eastAsia="仿宋_GB2312" w:cs="黑体"/>
          <w:sz w:val="32"/>
          <w:szCs w:val="32"/>
          <w:lang w:eastAsia="zh-CN"/>
        </w:rPr>
        <w:t>结合产业特色，做优产业集聚，</w:t>
      </w:r>
      <w:r>
        <w:rPr>
          <w:rFonts w:hint="eastAsia" w:ascii="仿宋_GB2312" w:hAnsi="Times New Roman" w:eastAsia="仿宋_GB2312" w:cs="黑体"/>
          <w:sz w:val="32"/>
          <w:szCs w:val="32"/>
        </w:rPr>
        <w:t>大力发展总部经济，打造形式多样、特色鲜明的总部基地。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）土地保障。</w:t>
      </w:r>
      <w:r>
        <w:rPr>
          <w:rFonts w:hint="eastAsia" w:ascii="Times New Roman" w:hAnsi="Times New Roman" w:eastAsia="仿宋_GB2312" w:cs="Times New Roman"/>
          <w:sz w:val="32"/>
          <w:szCs w:val="32"/>
        </w:rPr>
        <w:t>对符合条件的</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建设项目</w:t>
      </w:r>
      <w:r>
        <w:rPr>
          <w:rFonts w:hint="eastAsia" w:ascii="Times New Roman" w:hAnsi="Times New Roman" w:eastAsia="仿宋_GB2312" w:cs="Times New Roman"/>
          <w:sz w:val="32"/>
          <w:szCs w:val="32"/>
        </w:rPr>
        <w:t>支持优先申报列入</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重大产业项目、市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长项目，优先提前予以用地保障。对高科技、高成长性或“亩均效益”综合评价好的</w:t>
      </w:r>
      <w:r>
        <w:rPr>
          <w:rFonts w:hint="eastAsia" w:ascii="仿宋_GB2312" w:hAnsi="Times New Roman" w:eastAsia="仿宋_GB2312" w:cs="黑体"/>
          <w:sz w:val="32"/>
          <w:szCs w:val="32"/>
          <w:lang w:eastAsia="zh-CN"/>
        </w:rPr>
        <w:t>总部企业</w:t>
      </w:r>
      <w:r>
        <w:rPr>
          <w:rFonts w:hint="eastAsia" w:ascii="Times New Roman" w:hAnsi="Times New Roman" w:eastAsia="仿宋_GB2312" w:cs="Times New Roman"/>
          <w:sz w:val="32"/>
          <w:szCs w:val="32"/>
        </w:rPr>
        <w:t>用地予以重点支持。</w:t>
      </w:r>
      <w:r>
        <w:rPr>
          <w:rFonts w:hint="eastAsia" w:ascii="仿宋_GB2312" w:hAnsi="仿宋_GB2312" w:eastAsia="仿宋_GB2312" w:cs="仿宋_GB2312"/>
          <w:b w:val="0"/>
          <w:sz w:val="32"/>
          <w:szCs w:val="32"/>
          <w:lang w:eastAsia="zh-CN"/>
        </w:rPr>
        <w:t>对符合规定条件的</w:t>
      </w:r>
      <w:r>
        <w:rPr>
          <w:rFonts w:hint="eastAsia" w:ascii="仿宋_GB2312" w:hAnsi="仿宋_GB2312" w:eastAsia="仿宋_GB2312" w:cs="仿宋_GB2312"/>
          <w:b w:val="0"/>
          <w:sz w:val="32"/>
          <w:szCs w:val="32"/>
        </w:rPr>
        <w:t>总部企业自建总部办公用地，</w:t>
      </w:r>
      <w:r>
        <w:rPr>
          <w:rFonts w:hint="eastAsia" w:ascii="仿宋_GB2312" w:hAnsi="仿宋_GB2312" w:eastAsia="仿宋_GB2312" w:cs="仿宋_GB2312"/>
          <w:b w:val="0"/>
          <w:sz w:val="32"/>
          <w:szCs w:val="32"/>
          <w:lang w:eastAsia="zh-CN"/>
        </w:rPr>
        <w:t>可实施差别化地价政策。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）创新支持。</w:t>
      </w:r>
      <w:r>
        <w:rPr>
          <w:rFonts w:hint="eastAsia" w:ascii="仿宋_GB2312" w:hAnsi="Times New Roman" w:eastAsia="仿宋_GB2312" w:cs="黑体"/>
          <w:sz w:val="32"/>
          <w:szCs w:val="32"/>
        </w:rPr>
        <w:t>支持</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积极参与</w:t>
      </w:r>
      <w:r>
        <w:rPr>
          <w:rFonts w:hint="eastAsia" w:ascii="仿宋_GB2312" w:hAnsi="Times New Roman" w:eastAsia="仿宋_GB2312" w:cs="黑体"/>
          <w:sz w:val="32"/>
          <w:szCs w:val="32"/>
          <w:lang w:eastAsia="zh-CN"/>
        </w:rPr>
        <w:t>我市</w:t>
      </w:r>
      <w:r>
        <w:rPr>
          <w:rFonts w:hint="eastAsia" w:ascii="仿宋_GB2312" w:hAnsi="Times New Roman" w:eastAsia="仿宋_GB2312" w:cs="黑体"/>
          <w:sz w:val="32"/>
          <w:szCs w:val="32"/>
        </w:rPr>
        <w:t>研发公共服务平台建设和各类政府科技计划项目，并享受相关配套资金扶持。支持重点</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开展网络信息、人工智能、生命健康领域的基础理论和科学研究，建设具有国际先进水平的科学中心和研发平台，突破一批关键核心技术，在数字经济、生命健康等产业领域跻身全球领先地位。鼓励有条件的</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建设海外研发中心、海外创新孵化中心，发挥科技创新在</w:t>
      </w:r>
      <w:r>
        <w:rPr>
          <w:rFonts w:hint="eastAsia" w:ascii="仿宋_GB2312" w:hAnsi="Times New Roman" w:eastAsia="仿宋_GB2312" w:cs="黑体"/>
          <w:sz w:val="32"/>
          <w:szCs w:val="32"/>
          <w:lang w:eastAsia="zh-CN"/>
        </w:rPr>
        <w:t>我市</w:t>
      </w:r>
      <w:r>
        <w:rPr>
          <w:rFonts w:hint="eastAsia" w:ascii="仿宋_GB2312" w:hAnsi="Times New Roman" w:eastAsia="仿宋_GB2312" w:cs="黑体"/>
          <w:sz w:val="32"/>
          <w:szCs w:val="32"/>
        </w:rPr>
        <w:t>参与“一带一路”建设中的引领和支撑作用。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）知识产权保护。</w:t>
      </w:r>
      <w:r>
        <w:rPr>
          <w:rFonts w:hint="eastAsia" w:ascii="仿宋_GB2312" w:hAnsi="Times New Roman" w:eastAsia="仿宋_GB2312" w:cs="黑体"/>
          <w:sz w:val="32"/>
          <w:szCs w:val="32"/>
        </w:rPr>
        <w:t>实行严格的知识产权保护制度，建立查处知识产权侵权行为快速反应机制和重点</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知识产权保护直通车机制，加大侵权行为惩治力度。支持</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加强知识产权国际合作交流，完善长三角地区知识产权合作机制。鼓励有条件</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参与研制国际标准，推动自主知识产权标准成为国际标准。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Times New Roman" w:eastAsia="仿宋_GB2312" w:cs="黑体"/>
          <w:kern w:val="2"/>
          <w:sz w:val="32"/>
          <w:szCs w:val="32"/>
          <w:lang w:val="en-US" w:eastAsia="zh-CN" w:bidi="ar-SA"/>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）出入境便利化。</w:t>
      </w:r>
      <w:r>
        <w:rPr>
          <w:rFonts w:hint="eastAsia" w:ascii="仿宋_GB2312" w:hAnsi="Times New Roman" w:eastAsia="仿宋_GB2312" w:cs="黑体"/>
          <w:kern w:val="2"/>
          <w:sz w:val="32"/>
          <w:szCs w:val="32"/>
          <w:lang w:val="en-US" w:eastAsia="zh-CN" w:bidi="ar-SA"/>
        </w:rPr>
        <w:t>总部企业符合条件的中国籍人员可以申办亚太经合组织商务旅行卡。对因商务需要赴国外境外的，有关部门可提供出境便利。需要多次临时入境的总部企业外籍人员，可申请办理入境有效期不超过1年，停留期不超过180日的多次签证。对需要在我市长期工作和居留的总部企业外籍人员，可以按照规定申请办理多年期工作许可及5年以内有效的工作类居留许可。总部企业的高级外籍管理人员按照有关办法优先推荐申办《外国人永久居留身份证》，可将其境内合法所得直接至银行办理汇出手续，也可以将境内合法所得用于境内证券市场合法投资并办理后续汇出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）金融支持。</w:t>
      </w:r>
      <w:r>
        <w:rPr>
          <w:rFonts w:hint="eastAsia" w:ascii="仿宋_GB2312" w:hAnsi="Times New Roman" w:eastAsia="仿宋_GB2312" w:cs="黑体"/>
          <w:sz w:val="32"/>
          <w:szCs w:val="32"/>
        </w:rPr>
        <w:t>加大对</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的金融支持力度，积极拓宽</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融资渠道，提升</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的金融综合化服务水平。推动符合条件的已上市</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发行公司债、可转换债券，改善负债结构，增强对外投资能力。</w:t>
      </w:r>
      <w:r>
        <w:rPr>
          <w:rFonts w:hint="eastAsia" w:ascii="仿宋_GB2312" w:hAnsi="Times New Roman" w:eastAsia="仿宋_GB2312" w:cs="黑体"/>
          <w:bCs/>
          <w:sz w:val="32"/>
          <w:szCs w:val="32"/>
        </w:rPr>
        <w:t>支持符合条件的未上市</w:t>
      </w:r>
      <w:r>
        <w:rPr>
          <w:rFonts w:hint="eastAsia" w:ascii="仿宋_GB2312" w:hAnsi="Times New Roman" w:eastAsia="仿宋_GB2312" w:cs="黑体"/>
          <w:sz w:val="32"/>
          <w:szCs w:val="32"/>
          <w:lang w:eastAsia="zh-CN"/>
        </w:rPr>
        <w:t>总部企业</w:t>
      </w:r>
      <w:r>
        <w:rPr>
          <w:rFonts w:ascii="仿宋_GB2312" w:hAnsi="Times New Roman" w:eastAsia="仿宋_GB2312" w:cs="黑体"/>
          <w:bCs/>
          <w:sz w:val="32"/>
          <w:szCs w:val="32"/>
        </w:rPr>
        <w:t>在“新三板”和</w:t>
      </w:r>
      <w:r>
        <w:rPr>
          <w:rFonts w:hint="eastAsia" w:ascii="仿宋_GB2312" w:hAnsi="Times New Roman" w:eastAsia="仿宋_GB2312" w:cs="黑体"/>
          <w:bCs/>
          <w:sz w:val="32"/>
          <w:szCs w:val="32"/>
          <w:lang w:val="en-US" w:eastAsia="zh-CN"/>
        </w:rPr>
        <w:t>宁波</w:t>
      </w:r>
      <w:r>
        <w:rPr>
          <w:rFonts w:ascii="仿宋_GB2312" w:hAnsi="Times New Roman" w:eastAsia="仿宋_GB2312" w:cs="黑体"/>
          <w:bCs/>
          <w:sz w:val="32"/>
          <w:szCs w:val="32"/>
        </w:rPr>
        <w:t>股权交易中心挂牌</w:t>
      </w:r>
      <w:r>
        <w:rPr>
          <w:rFonts w:hint="eastAsia" w:ascii="仿宋_GB2312" w:hAnsi="Times New Roman" w:eastAsia="仿宋_GB2312" w:cs="黑体"/>
          <w:bCs/>
          <w:sz w:val="32"/>
          <w:szCs w:val="32"/>
        </w:rPr>
        <w:t>。</w:t>
      </w:r>
      <w:r>
        <w:rPr>
          <w:rFonts w:hint="eastAsia" w:ascii="仿宋_GB2312" w:eastAsia="仿宋_GB2312"/>
          <w:sz w:val="32"/>
          <w:szCs w:val="32"/>
        </w:rPr>
        <w:t>鼓励各类政府引导基金和产业基金投资总部企业，支持总部企业与境内外知名股权投资基金管理公司开展合作</w:t>
      </w:r>
      <w:r>
        <w:rPr>
          <w:rFonts w:hint="eastAsia" w:ascii="仿宋_GB2312" w:hAnsi="Times New Roman" w:eastAsia="仿宋_GB2312" w:cs="黑体"/>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Times New Roman" w:eastAsia="仿宋_GB2312" w:cs="黑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（十七）“走出去”服务</w:t>
      </w:r>
      <w:r>
        <w:rPr>
          <w:rFonts w:hint="eastAsia" w:ascii="仿宋_GB2312" w:hAnsi="Times New Roman" w:eastAsia="仿宋_GB2312" w:cs="黑体"/>
          <w:kern w:val="2"/>
          <w:sz w:val="32"/>
          <w:szCs w:val="32"/>
          <w:lang w:val="en-US" w:eastAsia="zh-CN" w:bidi="ar-SA"/>
        </w:rPr>
        <w:t>。加大“走出去”总部企业的信保、法律支持力度，优化其境外投资项目核准审批服务。鼓励总部企业根据自身经营和管理需要，开展各类跨境人民币业务。符合条件的总部企业，可按照有关规定开展跨国公司外汇资金集中运营管理业务。海关积极引导扶持总部企业提升信用等级，为符合条件的总部企业提供便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、组织保障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十八</w:t>
      </w:r>
      <w:r>
        <w:rPr>
          <w:rFonts w:hint="eastAsia" w:ascii="楷体_GB2312" w:hAnsi="楷体_GB2312" w:eastAsia="楷体_GB2312" w:cs="楷体_GB2312"/>
          <w:sz w:val="32"/>
          <w:szCs w:val="32"/>
        </w:rPr>
        <w:t>）建立总部经济全</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协调推进机制</w:t>
      </w:r>
      <w:r>
        <w:rPr>
          <w:rFonts w:hint="eastAsia" w:ascii="楷体_GB2312" w:hAnsi="楷体_GB2312" w:eastAsia="楷体_GB2312" w:cs="楷体_GB2312"/>
          <w:sz w:val="32"/>
          <w:szCs w:val="32"/>
          <w:lang w:eastAsia="zh-CN"/>
        </w:rPr>
        <w:t>。</w:t>
      </w:r>
      <w:r>
        <w:rPr>
          <w:rFonts w:hint="eastAsia" w:ascii="仿宋_GB2312" w:hAnsi="Times New Roman" w:eastAsia="仿宋_GB2312" w:cs="黑体"/>
          <w:sz w:val="32"/>
          <w:szCs w:val="32"/>
        </w:rPr>
        <w:t>加强总部经济发展的指导和管理，推进过程中的重大问题和重大事项纳入全</w:t>
      </w:r>
      <w:r>
        <w:rPr>
          <w:rFonts w:hint="eastAsia" w:ascii="仿宋_GB2312" w:hAnsi="Times New Roman" w:eastAsia="仿宋_GB2312" w:cs="黑体"/>
          <w:sz w:val="32"/>
          <w:szCs w:val="32"/>
          <w:lang w:eastAsia="zh-CN"/>
        </w:rPr>
        <w:t>市</w:t>
      </w:r>
      <w:r>
        <w:rPr>
          <w:rFonts w:hint="eastAsia" w:ascii="仿宋_GB2312" w:hAnsi="Times New Roman" w:eastAsia="仿宋_GB2312" w:cs="黑体"/>
          <w:sz w:val="32"/>
          <w:szCs w:val="32"/>
        </w:rPr>
        <w:t>扩大有效投资重大项目协调工作例会。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十九</w:t>
      </w:r>
      <w:r>
        <w:rPr>
          <w:rFonts w:hint="eastAsia" w:ascii="楷体_GB2312" w:hAnsi="楷体_GB2312" w:eastAsia="楷体_GB2312" w:cs="楷体_GB2312"/>
          <w:sz w:val="32"/>
          <w:szCs w:val="32"/>
        </w:rPr>
        <w:t>）建立</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级领导联系重点</w:t>
      </w:r>
      <w:r>
        <w:rPr>
          <w:rFonts w:hint="eastAsia" w:ascii="楷体_GB2312" w:hAnsi="楷体_GB2312" w:eastAsia="楷体_GB2312" w:cs="楷体_GB2312"/>
          <w:sz w:val="32"/>
          <w:szCs w:val="32"/>
          <w:lang w:eastAsia="zh-CN"/>
        </w:rPr>
        <w:t>总部企业</w:t>
      </w:r>
      <w:r>
        <w:rPr>
          <w:rFonts w:hint="eastAsia" w:ascii="楷体_GB2312" w:hAnsi="楷体_GB2312" w:eastAsia="楷体_GB2312" w:cs="楷体_GB2312"/>
          <w:sz w:val="32"/>
          <w:szCs w:val="32"/>
        </w:rPr>
        <w:t>制度</w:t>
      </w:r>
      <w:r>
        <w:rPr>
          <w:rFonts w:hint="eastAsia" w:ascii="楷体_GB2312" w:hAnsi="楷体_GB2312" w:eastAsia="楷体_GB2312" w:cs="楷体_GB2312"/>
          <w:sz w:val="32"/>
          <w:szCs w:val="32"/>
          <w:lang w:eastAsia="zh-CN"/>
        </w:rPr>
        <w:t>。</w:t>
      </w:r>
      <w:r>
        <w:rPr>
          <w:rFonts w:hint="eastAsia" w:ascii="仿宋_GB2312" w:hAnsi="Times New Roman" w:eastAsia="仿宋_GB2312" w:cs="黑体"/>
          <w:sz w:val="32"/>
          <w:szCs w:val="32"/>
        </w:rPr>
        <w:t>实施重点</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对口服务</w:t>
      </w:r>
      <w:r>
        <w:rPr>
          <w:rFonts w:hint="eastAsia" w:ascii="仿宋_GB2312" w:hAnsi="Times New Roman" w:eastAsia="仿宋_GB2312" w:cs="黑体"/>
          <w:sz w:val="32"/>
          <w:szCs w:val="32"/>
          <w:lang w:eastAsia="zh-CN"/>
        </w:rPr>
        <w:t>，</w:t>
      </w:r>
      <w:r>
        <w:rPr>
          <w:rFonts w:hint="eastAsia" w:ascii="仿宋_GB2312" w:hAnsi="Times New Roman" w:eastAsia="仿宋_GB2312" w:cs="黑体"/>
          <w:sz w:val="32"/>
          <w:szCs w:val="32"/>
        </w:rPr>
        <w:t>加强对</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的政策咨询与诉求处理服务，拓展</w:t>
      </w:r>
      <w:r>
        <w:rPr>
          <w:rFonts w:hint="eastAsia" w:ascii="仿宋_GB2312" w:hAnsi="Times New Roman" w:eastAsia="仿宋_GB2312" w:cs="黑体"/>
          <w:sz w:val="32"/>
          <w:szCs w:val="32"/>
          <w:lang w:eastAsia="zh-CN"/>
        </w:rPr>
        <w:t>总部企业</w:t>
      </w:r>
      <w:r>
        <w:rPr>
          <w:rFonts w:hint="eastAsia" w:ascii="仿宋_GB2312" w:hAnsi="Times New Roman" w:eastAsia="仿宋_GB2312" w:cs="黑体"/>
          <w:sz w:val="32"/>
          <w:szCs w:val="32"/>
        </w:rPr>
        <w:t>与政府沟通渠道。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rPr>
        <w:t>（二十）将总部经济发展工作纳入</w:t>
      </w:r>
      <w:r>
        <w:rPr>
          <w:rFonts w:hint="eastAsia" w:ascii="楷体_GB2312" w:hAnsi="楷体_GB2312" w:eastAsia="楷体_GB2312" w:cs="楷体_GB2312"/>
          <w:sz w:val="32"/>
          <w:szCs w:val="32"/>
          <w:lang w:eastAsia="zh-CN"/>
        </w:rPr>
        <w:t>市</w:t>
      </w:r>
      <w:r>
        <w:rPr>
          <w:rFonts w:hint="eastAsia" w:ascii="楷体_GB2312" w:hAnsi="楷体_GB2312" w:eastAsia="楷体_GB2312" w:cs="楷体_GB2312"/>
          <w:sz w:val="32"/>
          <w:szCs w:val="32"/>
        </w:rPr>
        <w:t>对各市招商引资工作评价和考核体系。</w:t>
      </w:r>
      <w:r>
        <w:rPr>
          <w:rFonts w:hint="eastAsia" w:ascii="仿宋_GB2312" w:hAnsi="Times New Roman" w:eastAsia="仿宋_GB2312" w:cs="黑体"/>
          <w:sz w:val="32"/>
          <w:szCs w:val="32"/>
        </w:rPr>
        <w:t>定期评估</w:t>
      </w:r>
      <w:r>
        <w:rPr>
          <w:rFonts w:hint="eastAsia" w:ascii="仿宋_GB2312" w:hAnsi="Times New Roman" w:eastAsia="仿宋_GB2312" w:cs="黑体"/>
          <w:sz w:val="32"/>
          <w:szCs w:val="32"/>
          <w:lang w:eastAsia="zh-CN"/>
        </w:rPr>
        <w:t>各区县（市）</w:t>
      </w:r>
      <w:r>
        <w:rPr>
          <w:rFonts w:hint="eastAsia" w:ascii="仿宋_GB2312" w:hAnsi="Times New Roman" w:eastAsia="仿宋_GB2312" w:cs="黑体"/>
          <w:sz w:val="32"/>
          <w:szCs w:val="32"/>
        </w:rPr>
        <w:t>促进总部经济发展的工作绩效，建立通报制度。</w:t>
      </w:r>
      <w:r>
        <w:rPr>
          <w:rFonts w:hint="eastAsia" w:ascii="Times New Roman" w:hAnsi="Times New Roman" w:eastAsia="仿宋_GB2312" w:cs="Times New Roman"/>
          <w:sz w:val="32"/>
          <w:szCs w:val="32"/>
        </w:rPr>
        <w:t>对总部经济发展工作取得明显成效的</w:t>
      </w:r>
      <w:r>
        <w:rPr>
          <w:rFonts w:hint="eastAsia" w:ascii="Times New Roman" w:hAnsi="Times New Roman" w:eastAsia="仿宋_GB2312" w:cs="Times New Roman"/>
          <w:sz w:val="32"/>
          <w:szCs w:val="32"/>
          <w:lang w:eastAsia="zh-CN"/>
        </w:rPr>
        <w:t>区县（市）</w:t>
      </w:r>
      <w:r>
        <w:rPr>
          <w:rFonts w:hint="eastAsia" w:ascii="Times New Roman" w:hAnsi="Times New Roman" w:eastAsia="仿宋_GB2312" w:cs="Times New Roman"/>
          <w:sz w:val="32"/>
          <w:szCs w:val="32"/>
        </w:rPr>
        <w:t>政府，纳入</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督查激励</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Times New Roman" w:eastAsia="仿宋_GB2312" w:cs="黑体"/>
          <w:sz w:val="32"/>
          <w:szCs w:val="32"/>
        </w:rPr>
      </w:pP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）制定具体实施</w:t>
      </w:r>
      <w:r>
        <w:rPr>
          <w:rFonts w:hint="eastAsia" w:ascii="楷体_GB2312" w:hAnsi="楷体_GB2312" w:eastAsia="楷体_GB2312" w:cs="楷体_GB2312"/>
          <w:sz w:val="32"/>
          <w:szCs w:val="32"/>
          <w:lang w:eastAsia="zh-CN"/>
        </w:rPr>
        <w:t>方案。</w:t>
      </w:r>
      <w:r>
        <w:rPr>
          <w:rFonts w:hint="eastAsia" w:ascii="仿宋_GB2312" w:hAnsi="Times New Roman" w:eastAsia="仿宋_GB2312" w:cs="黑体"/>
          <w:sz w:val="32"/>
          <w:szCs w:val="32"/>
          <w:lang w:eastAsia="zh-CN"/>
        </w:rPr>
        <w:t>各区县（市）</w:t>
      </w:r>
      <w:r>
        <w:rPr>
          <w:rFonts w:ascii="仿宋_GB2312" w:hAnsi="Times New Roman" w:eastAsia="仿宋_GB2312" w:cs="黑体"/>
          <w:sz w:val="32"/>
          <w:szCs w:val="32"/>
        </w:rPr>
        <w:t>人民政府要根据本意见,结合本地实际情况</w:t>
      </w:r>
      <w:r>
        <w:rPr>
          <w:rFonts w:hint="eastAsia" w:ascii="仿宋_GB2312" w:hAnsi="Times New Roman" w:eastAsia="仿宋_GB2312" w:cs="黑体"/>
          <w:sz w:val="32"/>
          <w:szCs w:val="32"/>
        </w:rPr>
        <w:t>，就</w:t>
      </w:r>
      <w:r>
        <w:rPr>
          <w:rFonts w:hint="eastAsia" w:ascii="仿宋_GB2312" w:hAnsi="Times New Roman" w:eastAsia="仿宋_GB2312" w:cs="黑体"/>
          <w:sz w:val="32"/>
          <w:szCs w:val="32"/>
          <w:lang w:eastAsia="zh-CN"/>
        </w:rPr>
        <w:t>总部企业细化</w:t>
      </w:r>
      <w:r>
        <w:rPr>
          <w:rFonts w:hint="eastAsia" w:ascii="仿宋_GB2312" w:hAnsi="Times New Roman" w:eastAsia="仿宋_GB2312" w:cs="黑体"/>
          <w:sz w:val="32"/>
          <w:szCs w:val="32"/>
        </w:rPr>
        <w:t>分类、政策引导和组织保障等方面</w:t>
      </w:r>
      <w:r>
        <w:rPr>
          <w:rFonts w:ascii="仿宋_GB2312" w:hAnsi="Times New Roman" w:eastAsia="仿宋_GB2312" w:cs="黑体"/>
          <w:sz w:val="32"/>
          <w:szCs w:val="32"/>
        </w:rPr>
        <w:t>制定具体实施</w:t>
      </w:r>
      <w:r>
        <w:rPr>
          <w:rFonts w:hint="eastAsia" w:ascii="仿宋_GB2312" w:hAnsi="Times New Roman" w:eastAsia="仿宋_GB2312" w:cs="黑体"/>
          <w:sz w:val="32"/>
          <w:szCs w:val="32"/>
          <w:lang w:eastAsia="zh-CN"/>
        </w:rPr>
        <w:t>方案</w:t>
      </w:r>
      <w:r>
        <w:rPr>
          <w:rFonts w:hint="eastAsia" w:ascii="仿宋_GB2312" w:hAnsi="Times New Roman" w:eastAsia="仿宋_GB2312" w:cs="黑体"/>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黑体"/>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最终解释权。</w:t>
      </w:r>
      <w:r>
        <w:rPr>
          <w:rFonts w:hint="eastAsia" w:ascii="仿宋_GB2312" w:hAnsi="Times New Roman" w:eastAsia="仿宋_GB2312" w:cs="黑体"/>
          <w:sz w:val="32"/>
          <w:szCs w:val="32"/>
        </w:rPr>
        <w:t>本</w:t>
      </w:r>
      <w:r>
        <w:rPr>
          <w:rFonts w:hint="eastAsia" w:ascii="Times New Roman" w:hAnsi="Times New Roman" w:eastAsia="仿宋_GB2312" w:cs="Times New Roman"/>
          <w:sz w:val="32"/>
          <w:szCs w:val="32"/>
          <w:lang w:eastAsia="zh-CN"/>
        </w:rPr>
        <w:t>细则</w:t>
      </w:r>
      <w:r>
        <w:rPr>
          <w:rFonts w:ascii="Times New Roman" w:hAnsi="Times New Roman" w:eastAsia="仿宋_GB2312" w:cs="Times New Roman"/>
          <w:sz w:val="32"/>
          <w:szCs w:val="32"/>
        </w:rPr>
        <w:t>自</w:t>
      </w:r>
      <w:r>
        <w:rPr>
          <w:rFonts w:hint="eastAsia" w:ascii="Times New Roman" w:hAnsi="Times New Roman" w:eastAsia="仿宋_GB2312" w:cs="Times New Roman"/>
          <w:sz w:val="32"/>
          <w:szCs w:val="32"/>
        </w:rPr>
        <w:t>印发之日起</w:t>
      </w:r>
      <w:r>
        <w:rPr>
          <w:rFonts w:ascii="Times New Roman" w:hAnsi="Times New Roman" w:eastAsia="仿宋_GB2312" w:cs="Times New Roman"/>
          <w:sz w:val="32"/>
          <w:szCs w:val="32"/>
        </w:rPr>
        <w:t>施</w:t>
      </w:r>
      <w:r>
        <w:rPr>
          <w:rFonts w:hint="eastAsia" w:ascii="仿宋_GB2312" w:hAnsi="Times New Roman" w:eastAsia="仿宋_GB2312" w:cs="黑体"/>
          <w:sz w:val="32"/>
          <w:szCs w:val="32"/>
        </w:rPr>
        <w:t>行，有效期</w:t>
      </w:r>
      <w:r>
        <w:rPr>
          <w:rFonts w:hint="eastAsia" w:ascii="仿宋_GB2312" w:hAnsi="Times New Roman" w:eastAsia="仿宋_GB2312" w:cs="黑体"/>
          <w:sz w:val="32"/>
          <w:szCs w:val="32"/>
          <w:lang w:eastAsia="zh-CN"/>
        </w:rPr>
        <w:t>至</w:t>
      </w:r>
      <w:r>
        <w:rPr>
          <w:rFonts w:hint="eastAsia" w:ascii="仿宋_GB2312" w:hAnsi="Times New Roman" w:eastAsia="仿宋_GB2312" w:cs="黑体"/>
          <w:sz w:val="32"/>
          <w:szCs w:val="32"/>
          <w:lang w:val="en-US" w:eastAsia="zh-CN"/>
        </w:rPr>
        <w:t>2022</w:t>
      </w:r>
      <w:r>
        <w:rPr>
          <w:rFonts w:hint="eastAsia" w:ascii="仿宋_GB2312" w:hAnsi="Times New Roman" w:eastAsia="仿宋_GB2312" w:cs="黑体"/>
          <w:sz w:val="32"/>
          <w:szCs w:val="32"/>
        </w:rPr>
        <w:t>年</w:t>
      </w:r>
      <w:r>
        <w:rPr>
          <w:rFonts w:hint="eastAsia" w:ascii="仿宋_GB2312" w:hAnsi="Times New Roman" w:eastAsia="仿宋_GB2312" w:cs="黑体"/>
          <w:sz w:val="32"/>
          <w:szCs w:val="32"/>
          <w:lang w:val="en-US" w:eastAsia="zh-CN"/>
        </w:rPr>
        <w:t>12月31日</w:t>
      </w:r>
      <w:r>
        <w:rPr>
          <w:rFonts w:hint="eastAsia" w:ascii="仿宋_GB2312" w:hAnsi="Times New Roman" w:eastAsia="仿宋_GB2312" w:cs="黑体"/>
          <w:sz w:val="32"/>
          <w:szCs w:val="32"/>
        </w:rPr>
        <w:t>，由</w:t>
      </w:r>
      <w:r>
        <w:rPr>
          <w:rFonts w:hint="eastAsia" w:ascii="仿宋_GB2312" w:hAnsi="Times New Roman" w:eastAsia="仿宋_GB2312" w:cs="黑体"/>
          <w:sz w:val="32"/>
          <w:szCs w:val="32"/>
          <w:lang w:eastAsia="zh-CN"/>
        </w:rPr>
        <w:t>市服务业局</w:t>
      </w:r>
      <w:r>
        <w:rPr>
          <w:rFonts w:hint="eastAsia" w:ascii="仿宋_GB2312" w:hAnsi="Times New Roman" w:eastAsia="仿宋_GB2312" w:cs="黑体"/>
          <w:sz w:val="32"/>
          <w:szCs w:val="32"/>
        </w:rPr>
        <w:t>负责</w:t>
      </w:r>
      <w:r>
        <w:rPr>
          <w:rFonts w:hint="eastAsia" w:ascii="仿宋_GB2312" w:hAnsi="Times New Roman" w:eastAsia="仿宋_GB2312" w:cs="黑体"/>
          <w:sz w:val="32"/>
          <w:szCs w:val="32"/>
          <w:lang w:eastAsia="zh-CN"/>
        </w:rPr>
        <w:t>最终</w:t>
      </w:r>
      <w:r>
        <w:rPr>
          <w:rFonts w:hint="eastAsia" w:ascii="仿宋_GB2312" w:hAnsi="Times New Roman" w:eastAsia="仿宋_GB2312" w:cs="黑体"/>
          <w:sz w:val="32"/>
          <w:szCs w:val="32"/>
        </w:rPr>
        <w:t>解释。</w:t>
      </w:r>
    </w:p>
    <w:p>
      <w:pPr>
        <w:rPr>
          <w:rFonts w:hint="eastAsia" w:ascii="仿宋_GB2312" w:hAnsi="Times New Roman" w:eastAsia="仿宋_GB2312"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7091"/>
    <w:rsid w:val="024A06CE"/>
    <w:rsid w:val="02713534"/>
    <w:rsid w:val="030E3D3A"/>
    <w:rsid w:val="03686331"/>
    <w:rsid w:val="042E2158"/>
    <w:rsid w:val="04E3296A"/>
    <w:rsid w:val="050C0DF5"/>
    <w:rsid w:val="08482E18"/>
    <w:rsid w:val="0E541B65"/>
    <w:rsid w:val="10AA553B"/>
    <w:rsid w:val="12A571B2"/>
    <w:rsid w:val="144068FD"/>
    <w:rsid w:val="14E51EA3"/>
    <w:rsid w:val="15F358ED"/>
    <w:rsid w:val="16BB396A"/>
    <w:rsid w:val="187820CF"/>
    <w:rsid w:val="1E341924"/>
    <w:rsid w:val="1EB81B92"/>
    <w:rsid w:val="1EFB3ECC"/>
    <w:rsid w:val="20065A18"/>
    <w:rsid w:val="218A648E"/>
    <w:rsid w:val="22B00200"/>
    <w:rsid w:val="237C4182"/>
    <w:rsid w:val="259C391B"/>
    <w:rsid w:val="26EA694D"/>
    <w:rsid w:val="2A080F47"/>
    <w:rsid w:val="2CB04EA5"/>
    <w:rsid w:val="2D471F49"/>
    <w:rsid w:val="31197B6C"/>
    <w:rsid w:val="34EC6412"/>
    <w:rsid w:val="3EFF0C83"/>
    <w:rsid w:val="40C821B9"/>
    <w:rsid w:val="41371ED6"/>
    <w:rsid w:val="42492C87"/>
    <w:rsid w:val="44FC2582"/>
    <w:rsid w:val="45687811"/>
    <w:rsid w:val="46096E07"/>
    <w:rsid w:val="47CD0A34"/>
    <w:rsid w:val="49F45879"/>
    <w:rsid w:val="4DF0540C"/>
    <w:rsid w:val="501F072F"/>
    <w:rsid w:val="513078E1"/>
    <w:rsid w:val="51B701AE"/>
    <w:rsid w:val="5A644B7D"/>
    <w:rsid w:val="5CDF262A"/>
    <w:rsid w:val="61277C0C"/>
    <w:rsid w:val="614A3AC9"/>
    <w:rsid w:val="63492AE0"/>
    <w:rsid w:val="63E7678B"/>
    <w:rsid w:val="68EB4943"/>
    <w:rsid w:val="692D587C"/>
    <w:rsid w:val="6A5C0F00"/>
    <w:rsid w:val="714F5316"/>
    <w:rsid w:val="71DF2505"/>
    <w:rsid w:val="72272E7A"/>
    <w:rsid w:val="726F2DD5"/>
    <w:rsid w:val="74C0367D"/>
    <w:rsid w:val="75851BE9"/>
    <w:rsid w:val="76A51AD1"/>
    <w:rsid w:val="78DE0557"/>
    <w:rsid w:val="7AFA4794"/>
    <w:rsid w:val="7BA0646F"/>
    <w:rsid w:val="7E641AF7"/>
    <w:rsid w:val="7F6803CE"/>
    <w:rsid w:val="7F6A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character" w:customStyle="1" w:styleId="8">
    <w:name w:val="layui-this"/>
    <w:basedOn w:val="6"/>
    <w:uiPriority w:val="0"/>
    <w:rPr>
      <w:bdr w:val="single" w:color="EEEEEE" w:sz="6" w:space="0"/>
      <w:shd w:val="clear" w:fill="FFFFFF"/>
    </w:rPr>
  </w:style>
  <w:style w:type="character" w:customStyle="1" w:styleId="9">
    <w:name w:val="first-child"/>
    <w:basedOn w:val="6"/>
    <w:uiPriority w:val="0"/>
  </w:style>
  <w:style w:type="paragraph" w:customStyle="1" w:styleId="10">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净净</cp:lastModifiedBy>
  <cp:lastPrinted>2020-07-06T02:51:00Z</cp:lastPrinted>
  <dcterms:modified xsi:type="dcterms:W3CDTF">2020-07-06T03:42:33Z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