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snapToGrid w:val="0"/>
        <w:spacing w:line="560" w:lineRule="exact"/>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32"/>
          <w:szCs w:val="32"/>
        </w:rPr>
        <w:t>附件1</w:t>
      </w:r>
    </w:p>
    <w:p>
      <w:pPr>
        <w:snapToGrid w:val="0"/>
        <w:spacing w:line="560" w:lineRule="exact"/>
        <w:jc w:val="center"/>
        <w:rPr>
          <w:rFonts w:hint="default" w:ascii="Times New Roman" w:hAnsi="Times New Roman" w:eastAsia="黑体" w:cs="Times New Roman"/>
          <w:bCs/>
          <w:color w:val="000000"/>
          <w:sz w:val="40"/>
          <w:szCs w:val="40"/>
        </w:rPr>
      </w:pPr>
      <w:r>
        <w:rPr>
          <w:rFonts w:hint="default" w:ascii="Times New Roman" w:hAnsi="Times New Roman" w:eastAsia="黑体" w:cs="Times New Roman"/>
          <w:bCs/>
          <w:color w:val="000000"/>
          <w:sz w:val="40"/>
          <w:szCs w:val="40"/>
        </w:rPr>
        <w:t>“共同富裕提质年”重点指标体系</w:t>
      </w:r>
    </w:p>
    <w:p>
      <w:pPr>
        <w:pStyle w:val="32"/>
        <w:rPr>
          <w:rFonts w:hint="default" w:ascii="Times New Roman" w:hAnsi="Times New Roman" w:cs="Times New Roman"/>
        </w:rPr>
      </w:pPr>
    </w:p>
    <w:tbl>
      <w:tblPr>
        <w:tblStyle w:val="16"/>
        <w:tblW w:w="9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4960"/>
        <w:gridCol w:w="1870"/>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blHeader/>
          <w:jc w:val="center"/>
        </w:trPr>
        <w:tc>
          <w:tcPr>
            <w:tcW w:w="805" w:type="dxa"/>
            <w:vAlign w:val="center"/>
          </w:tcPr>
          <w:p>
            <w:pPr>
              <w:autoSpaceDE w:val="0"/>
              <w:snapToGrid w:val="0"/>
              <w:spacing w:line="216" w:lineRule="auto"/>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4960" w:type="dxa"/>
            <w:tcBorders>
              <w:left w:val="nil"/>
            </w:tcBorders>
            <w:vAlign w:val="center"/>
          </w:tcPr>
          <w:p>
            <w:pPr>
              <w:autoSpaceDE w:val="0"/>
              <w:snapToGrid w:val="0"/>
              <w:spacing w:line="216" w:lineRule="auto"/>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考核指标</w:t>
            </w:r>
          </w:p>
        </w:tc>
        <w:tc>
          <w:tcPr>
            <w:tcW w:w="1870" w:type="dxa"/>
            <w:tcBorders>
              <w:left w:val="nil"/>
            </w:tcBorders>
            <w:vAlign w:val="center"/>
          </w:tcPr>
          <w:p>
            <w:pPr>
              <w:autoSpaceDE w:val="0"/>
              <w:snapToGrid w:val="0"/>
              <w:spacing w:line="216" w:lineRule="auto"/>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2022年目标</w:t>
            </w:r>
          </w:p>
        </w:tc>
        <w:tc>
          <w:tcPr>
            <w:tcW w:w="2330" w:type="dxa"/>
            <w:tcBorders>
              <w:left w:val="nil"/>
            </w:tcBorders>
            <w:vAlign w:val="center"/>
          </w:tcPr>
          <w:p>
            <w:pPr>
              <w:autoSpaceDE w:val="0"/>
              <w:snapToGrid w:val="0"/>
              <w:spacing w:line="216" w:lineRule="auto"/>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人均生产总值（万元）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13.7（常住人口）</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全员劳动生产率（万元/人）</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单位GDP能耗（吨标准煤/万元）</w:t>
            </w:r>
          </w:p>
        </w:tc>
        <w:tc>
          <w:tcPr>
            <w:tcW w:w="1870" w:type="dxa"/>
            <w:tcBorders>
              <w:left w:val="nil"/>
            </w:tcBorders>
            <w:vAlign w:val="center"/>
          </w:tcPr>
          <w:p>
            <w:pPr>
              <w:topLinePunct/>
              <w:autoSpaceDE w:val="0"/>
              <w:adjustRightInd w:val="0"/>
              <w:snapToGrid w:val="0"/>
              <w:spacing w:line="216" w:lineRule="auto"/>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完成上级下达目标</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单位GDP建设用地使用面积（平方米/万元）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逐步下降</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*规上工业亩均税收（万元）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27</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*高技术制造业增加值占规上工业比重（%）</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居民人均可支配收入（万元）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6.5</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区发改局、区人力社保局、区农业农村局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R&amp;D经费支出占GDP比重（%）</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3.4</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*数字经济核心产业增加值占GDP比重（%）</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居民人均消费支出（元）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39400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11</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劳动报酬占GDP比重（%）</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 w:cs="Times New Roman"/>
                <w:color w:val="000000"/>
                <w:kern w:val="0"/>
                <w:sz w:val="24"/>
              </w:rPr>
              <w:t>稳步提升</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居民人均可支配收入与人均GDP之比（%）</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50.5</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restart"/>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家庭可支配收入10-50万元群体比例（%）</w:t>
            </w:r>
          </w:p>
        </w:tc>
        <w:tc>
          <w:tcPr>
            <w:tcW w:w="1870" w:type="dxa"/>
            <w:tcBorders>
              <w:top w:val="nil"/>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82</w:t>
            </w:r>
          </w:p>
        </w:tc>
        <w:tc>
          <w:tcPr>
            <w:tcW w:w="2330" w:type="dxa"/>
            <w:tcBorders>
              <w:top w:val="nil"/>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Merge w:val="continue"/>
            <w:vAlign w:val="center"/>
          </w:tcPr>
          <w:p>
            <w:pPr>
              <w:snapToGrid w:val="0"/>
              <w:spacing w:line="216" w:lineRule="auto"/>
              <w:rPr>
                <w:rFonts w:hint="default" w:ascii="Times New Roman" w:hAnsi="Times New Roman" w:eastAsia="仿宋_GB2312" w:cs="Times New Roman"/>
                <w:color w:val="000000"/>
                <w:spacing w:val="-6"/>
                <w:sz w:val="24"/>
              </w:rPr>
            </w:pP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家庭可支配收入20-60万元群体比例（%）</w:t>
            </w:r>
          </w:p>
        </w:tc>
        <w:tc>
          <w:tcPr>
            <w:tcW w:w="1870" w:type="dxa"/>
            <w:tcBorders>
              <w:top w:val="nil"/>
              <w:left w:val="nil"/>
            </w:tcBorders>
            <w:vAlign w:val="center"/>
          </w:tcPr>
          <w:p>
            <w:pPr>
              <w:snapToGrid w:val="0"/>
              <w:spacing w:line="216" w:lineRule="auto"/>
              <w:jc w:val="center"/>
              <w:rPr>
                <w:rFonts w:hint="default" w:ascii="Times New Roman" w:hAnsi="Times New Roman" w:eastAsia="仿宋_GB2312" w:cs="Times New Roman"/>
                <w:color w:val="000000"/>
                <w:spacing w:val="-6"/>
                <w:sz w:val="24"/>
              </w:rPr>
            </w:pPr>
            <w:r>
              <w:rPr>
                <w:rFonts w:hint="default" w:ascii="Times New Roman" w:hAnsi="Times New Roman" w:eastAsia="仿宋_GB2312" w:cs="Times New Roman"/>
                <w:color w:val="000000"/>
                <w:spacing w:val="-6"/>
                <w:sz w:val="24"/>
              </w:rPr>
              <w:t>45</w:t>
            </w:r>
          </w:p>
        </w:tc>
        <w:tc>
          <w:tcPr>
            <w:tcW w:w="2330" w:type="dxa"/>
            <w:tcBorders>
              <w:top w:val="nil"/>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14</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每千人口拥有3岁以下婴幼儿托位数（个）</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15</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*普惠性幼儿园在园幼儿占比（%）</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spacing w:val="-6"/>
                <w:sz w:val="24"/>
              </w:rPr>
              <w:t>90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16</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技能人才占从业人员比重（%）</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17</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人均预期寿命（岁）</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82.9</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18</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每千人口拥有执业（助理）医师数（人）</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19</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每万老年人口拥有持证养老护理员数（人）</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城镇住房保障受益覆盖率（%）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23</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21</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最低生活保障标准（元）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11280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22</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城乡居民收入倍差</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1.75</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区发改局、区人力社保局、区农业农村局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23</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常住人口城镇化率（%）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73</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24</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3个“1小时交通圈”人口覆盖率（%）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城乡公交一体化率（%）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26</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每万人拥有公共文化设施面积（㎡）</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4000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27</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居民综合阅读率（%）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91.5</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28</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人均体育场地面积（㎡）</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autoSpaceDE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sz w:val="24"/>
              </w:rPr>
              <w:t>29</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生活垃圾分类覆盖面（%）</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30</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PM</w:t>
            </w:r>
            <w:r>
              <w:rPr>
                <w:rFonts w:hint="default" w:ascii="Times New Roman" w:hAnsi="Times New Roman" w:eastAsia="仿宋_GB2312" w:cs="Times New Roman"/>
                <w:color w:val="000000"/>
                <w:kern w:val="0"/>
                <w:sz w:val="24"/>
                <w:vertAlign w:val="subscript"/>
              </w:rPr>
              <w:t>2.5</w:t>
            </w:r>
            <w:r>
              <w:rPr>
                <w:rFonts w:hint="default" w:ascii="Times New Roman" w:hAnsi="Times New Roman" w:eastAsia="仿宋_GB2312" w:cs="Times New Roman"/>
                <w:color w:val="000000"/>
                <w:kern w:val="0"/>
                <w:sz w:val="24"/>
              </w:rPr>
              <w:t>平均浓度（微克/立方米）</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28以下</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地表水达到或好于</w:t>
            </w:r>
            <w:r>
              <w:rPr>
                <w:rFonts w:hint="default" w:ascii="Times New Roman" w:hAnsi="Times New Roman" w:cs="Times New Roman"/>
                <w:color w:val="000000"/>
                <w:kern w:val="0"/>
                <w:sz w:val="24"/>
              </w:rPr>
              <w:t>Ⅲ</w:t>
            </w:r>
            <w:r>
              <w:rPr>
                <w:rFonts w:hint="default" w:ascii="Times New Roman" w:hAnsi="Times New Roman" w:eastAsia="仿宋_GB2312" w:cs="Times New Roman"/>
                <w:color w:val="000000"/>
                <w:kern w:val="0"/>
                <w:sz w:val="24"/>
              </w:rPr>
              <w:t>类水体比例（%）</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32</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县级以上城市公园绿地服务半径覆盖率（%）</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90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33</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亿元生产总值生产安全事故死亡率（人/亿元）</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0.005</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万人成讼率（件/万人）</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≤89</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05" w:type="dxa"/>
            <w:vAlign w:val="center"/>
          </w:tcPr>
          <w:p>
            <w:pPr>
              <w:widowControl/>
              <w:autoSpaceDE w:val="0"/>
              <w:adjustRightInd w:val="0"/>
              <w:snapToGrid w:val="0"/>
              <w:spacing w:line="216" w:lineRule="auto"/>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35</w:t>
            </w:r>
          </w:p>
        </w:tc>
        <w:tc>
          <w:tcPr>
            <w:tcW w:w="496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*律师万人比（人/万人）</w:t>
            </w:r>
          </w:p>
        </w:tc>
        <w:tc>
          <w:tcPr>
            <w:tcW w:w="187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3.0</w:t>
            </w:r>
          </w:p>
        </w:tc>
        <w:tc>
          <w:tcPr>
            <w:tcW w:w="2330" w:type="dxa"/>
            <w:tcBorders>
              <w:left w:val="nil"/>
            </w:tcBorders>
            <w:vAlign w:val="center"/>
          </w:tcPr>
          <w:p>
            <w:pPr>
              <w:widowControl/>
              <w:topLinePunct/>
              <w:autoSpaceDE w:val="0"/>
              <w:adjustRightInd w:val="0"/>
              <w:snapToGrid w:val="0"/>
              <w:spacing w:line="216" w:lineRule="auto"/>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区司法局</w:t>
            </w:r>
          </w:p>
        </w:tc>
      </w:tr>
    </w:tbl>
    <w:p>
      <w:pPr>
        <w:pStyle w:val="32"/>
        <w:snapToGrid w:val="0"/>
        <w:spacing w:line="560" w:lineRule="exact"/>
        <w:rPr>
          <w:rFonts w:hint="default" w:ascii="Times New Roman" w:hAnsi="Times New Roman" w:eastAsia="仿宋_GB2312" w:cs="Times New Roman"/>
          <w:color w:val="000000"/>
          <w:kern w:val="0"/>
          <w:sz w:val="24"/>
        </w:rPr>
        <w:sectPr>
          <w:headerReference r:id="rId3" w:type="default"/>
          <w:footerReference r:id="rId4" w:type="default"/>
          <w:pgSz w:w="11906" w:h="16838"/>
          <w:pgMar w:top="1587" w:right="1304" w:bottom="1474" w:left="1417" w:header="851" w:footer="992" w:gutter="0"/>
          <w:cols w:space="0" w:num="1"/>
          <w:docGrid w:type="lines" w:linePitch="319" w:charSpace="0"/>
        </w:sectPr>
      </w:pPr>
      <w:r>
        <w:rPr>
          <w:rFonts w:hint="default" w:ascii="Times New Roman" w:hAnsi="Times New Roman" w:eastAsia="仿宋_GB2312" w:cs="Times New Roman"/>
          <w:color w:val="000000"/>
          <w:kern w:val="0"/>
          <w:sz w:val="24"/>
        </w:rPr>
        <w:t>注：带*指标为短板指标。</w:t>
      </w:r>
    </w:p>
    <w:p>
      <w:pPr>
        <w:pStyle w:val="32"/>
        <w:snapToGrid w:val="0"/>
        <w:spacing w:line="560" w:lineRule="exact"/>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附件2</w:t>
      </w:r>
    </w:p>
    <w:p>
      <w:pPr>
        <w:snapToGrid w:val="0"/>
        <w:spacing w:line="560" w:lineRule="exact"/>
        <w:jc w:val="center"/>
        <w:rPr>
          <w:rFonts w:hint="default" w:ascii="Times New Roman" w:hAnsi="Times New Roman" w:eastAsia="方正小标宋简体" w:cs="Times New Roman"/>
          <w:bCs/>
          <w:color w:val="000000"/>
          <w:sz w:val="40"/>
          <w:szCs w:val="40"/>
        </w:rPr>
      </w:pPr>
      <w:r>
        <w:rPr>
          <w:rFonts w:hint="default" w:ascii="Times New Roman" w:hAnsi="Times New Roman" w:eastAsia="方正小标宋简体" w:cs="Times New Roman"/>
          <w:bCs/>
          <w:color w:val="000000"/>
          <w:sz w:val="40"/>
          <w:szCs w:val="40"/>
        </w:rPr>
        <w:t>“共同富裕提质年”重点工作清单</w:t>
      </w:r>
    </w:p>
    <w:p>
      <w:pPr>
        <w:spacing w:line="300" w:lineRule="exact"/>
        <w:ind w:firstLine="640" w:firstLineChars="200"/>
        <w:jc w:val="center"/>
        <w:rPr>
          <w:rFonts w:hint="default" w:ascii="Times New Roman" w:hAnsi="Times New Roman" w:eastAsia="仿宋_GB2312" w:cs="Times New Roman"/>
          <w:sz w:val="32"/>
          <w:szCs w:val="22"/>
        </w:rPr>
      </w:pPr>
    </w:p>
    <w:tbl>
      <w:tblPr>
        <w:tblStyle w:val="1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007"/>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blHeader/>
          <w:jc w:val="center"/>
        </w:trPr>
        <w:tc>
          <w:tcPr>
            <w:tcW w:w="772" w:type="dxa"/>
            <w:vAlign w:val="center"/>
          </w:tcPr>
          <w:p>
            <w:pPr>
              <w:overflowPunct w:val="0"/>
              <w:adjustRightInd w:val="0"/>
              <w:snapToGrid w:val="0"/>
              <w:spacing w:line="300" w:lineRule="exact"/>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序号</w:t>
            </w:r>
          </w:p>
        </w:tc>
        <w:tc>
          <w:tcPr>
            <w:tcW w:w="12007" w:type="dxa"/>
            <w:vAlign w:val="center"/>
          </w:tcPr>
          <w:p>
            <w:pPr>
              <w:overflowPunct w:val="0"/>
              <w:adjustRightInd w:val="0"/>
              <w:snapToGrid w:val="0"/>
              <w:spacing w:line="300" w:lineRule="exact"/>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内  容</w:t>
            </w:r>
          </w:p>
        </w:tc>
        <w:tc>
          <w:tcPr>
            <w:tcW w:w="2016" w:type="dxa"/>
            <w:vAlign w:val="center"/>
          </w:tcPr>
          <w:p>
            <w:pPr>
              <w:overflowPunct w:val="0"/>
              <w:adjustRightInd w:val="0"/>
              <w:snapToGrid w:val="0"/>
              <w:spacing w:line="300" w:lineRule="exact"/>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楷体_GB2312" w:cs="Times New Roman"/>
                <w:color w:val="000000"/>
                <w:szCs w:val="21"/>
              </w:rPr>
            </w:pPr>
            <w:r>
              <w:rPr>
                <w:rFonts w:hint="default" w:ascii="Times New Roman" w:hAnsi="Times New Roman" w:eastAsia="楷体_GB2312" w:cs="Times New Roman"/>
                <w:b/>
                <w:bCs/>
                <w:color w:val="000000"/>
                <w:szCs w:val="21"/>
              </w:rPr>
              <w:t>一、聚力产业发展提质增效，打造集群智造共富平台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以打造精品样板园区为重点，加快推进小微企业园建设2.0版，力争全年新增省级认定小微企业园3个。</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快中鑫卧龙产业园项目建设，力争年底前完成二期项目竣工并投产，积极招引配套企业、实现园区正常运转，形成可推广经验模式，打造一批产业集聚、定位鲜明、配套完善、功能完备的链主型企业配套产业园。</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全面完成化工产业改造提升2.0版各项目标任务，做好印染、化工改造提升收官，加快集聚提升项目的开工建设。</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分类推进未来工厂培育、智能工厂（数字化车间）创建，加快打造一批优势企业示范样板，重点培育未来工厂(试点)1家，建设智能工厂(数字化车间)6家以上。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加快工业互联网平台扩容提质，力争全年新增工业互联网平台（项目）3个。</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进一步完善“小升规”、“放水养鱼”、“雏鹰行动”、“单项冠军”、“雄鹰行动”等企业梯队。全力推动中小企业“专精特新”发展，力争全年新增省级“专精特新”企业5家以上。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继续开展实施创新成长型企业新三年培育计划，动态调整加以重点扶持，鼓励企业做大做强，力争全年新增规上企业65家、新增亿元以上企业10家。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pacing w:val="-8"/>
                <w:sz w:val="24"/>
              </w:rPr>
            </w:pPr>
            <w:r>
              <w:rPr>
                <w:rFonts w:hint="default" w:ascii="Times New Roman" w:hAnsi="Times New Roman" w:eastAsia="仿宋_GB2312" w:cs="Times New Roman"/>
                <w:color w:val="000000"/>
                <w:sz w:val="24"/>
              </w:rPr>
              <w:t>区经信局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快打造曹娥江科创走廊，构建科技园、科教园、人力资源产业园、高层次人才创业总园和产业协同创新中心、公共实训中心“四园二中心”创新平台体系，加快优势科创资源集聚和创新创业项目引进，打响“创在上虞”优势品牌。</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高标准推进曹娥江实验室建设，进一步完善运行机制和管理体制，按照“一核多点网络化”的建设模式，构筑形成“产学研用”协同创新的新型研发体系，打造省内特色新材料产业创新发展高地。</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实施新一轮科技型企业“双倍增”计划，加快构建覆盖企业成长全生命周期的梯次培育体系，新认定高新技术企业50家以上、省科技型中小企业150家以上。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实施规上企业无研发活动“清零”行动，强化揭榜挂帅攻关，争取更多国家、省级“尖兵”“领雁”重大攻关项目入围。</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推动“上市企业+省级领军人才”“百强企业+市级领军人才”行动，争取新增省级以上各类科技创新人才30人以上。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区委组织部（人才办）、区科技局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实施“金蓝领”倍增计划，加强青年人才、技能人才、社会专业人才、共富人才等领域各层次人才招引。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区委组织部（人才办）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托省、市级科技大市场，搭建科技成果转移转化平台，完善科技成果登记制度和企业科技需求发布机制，加强与国内外高校、科研院所的战略合作，鼓励企业以购买、兼并等多种形式加快先进成果应用与转化。全年引育科技成果350项以上，实现技术交易额25亿元。</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认真落实《上虞区建筑工业化专项发展规划》，统筹推进生产基地建设、企业主体培育、建设项目实施“三大工程”，全年力争PC构件产量达到30万立方米，钢结构装配式住宅累计新开工10万平方米，中心城区新建民用项目实现装配式建造比例100%、新建住宅项目实现全装修比例100%，中心城区以外新建民用项目装配式建造比例达到34%。</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严格施工质量安全监管，确保区内工程住宅工程分户验收率达100%，一次验收合格率达100%，建筑施工百亿元产值死亡率低于全省平均水平。</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通过商圈智慧化改造、夜间经济促进，积极争创省级夜间经济试点城市和省级示范智慧商圈，推动实施“美好消费在上虞”品牌重塑工程、“智慧上虞”商圈建设工程、“点亮上虞”夜地标建设工程等系列工程，全力打造“浙东新商都”2.0版。</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建设跨境电商产业园。借势借力绍兴跨境电商综试区，谋划建设一个集平台、货源、仓储、物流为一体的上虞区跨境电商产业园，为创新创业者和跨境电商从业者提供人才培训、海外消费者流量、海内外仓储物流、创意产品库、供应链金融、孵化投资等服务，大力推进我区跨境电商发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打造跨境电商综合服务体系。依托“麒麟计划”，加快建设覆盖全区、服务全区的上虞跨境电商综合服务平台，逐步完善、优化平台功能和运行机制。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重点开展数创广场步行街、万达广场观澜里步行街等特色商业街区打造。在一江两岸布局高端现代服务业，引进高端酒吧、咖啡吧及米其林、黑珍珠系列的高档餐饮，打造集休闲、娱乐、创意于一体的高端服务业集聚带。</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深化“证照分离”改革2.0版，进一步加大取消审批和审批改备案力度，推动告知承诺事项扩面提质，对涉企经营许可事项全覆盖实施清单管理，实施准入准营“一件事”改革。</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实现企业开办、注销实现“两环节、一日办、零费用”，提升企业开办便利度，市场主体登记网办率达到90%以上，住所告知承诺应用率大幅提升。完善企业注销制度，探索建立歇业制度。</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抓实招商选资工作，加紧盯引皂李湖-祝家庄重大文旅项目、曹娥江“黄金1号水道”等重点项目，争取引进 50 亿元以上重大文旅项目1个。</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曹娥江旅游度假区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办好曹娥江文化旅游节活动，重点精心策划举办瓷源·上虞“不虚瓷行”九秋大集等“1+N”系列节会活动，并组织赴上海、杭州等长三角重点城市举办3场以上文旅招商精准推介活动，进一步扩大“诗画曹娥江”品牌影响力，争取成功创建省4A级景区城，并顺利通过省级旅游度假区2020-2021年度考核。</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曹娥江旅游度假区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争取超千亿级的荣盛石化产业链项目正式签约启动。</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依托国科控股中试基地、天大研究院、产业协同创新中心等创新平台优势，全面建强“研发设计-小试-中试-放大生产”全链条创新链，力争全年新增高新技术企业、科技型企业各10家。</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杭州湾经开区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实施“靶向企业盯引”“瞪羚企业培育”两大工程，对照产业链“按图索骥”招商，探索在杭州建立招商飞地，推动北上广深杭数字文创企业落地小镇，计划引进产业链优势企业50家以上。</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e游小镇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大力发展数字化场景建设，持续打造以数字驾驶舱、浙江省网络游戏服务管理平台、全国游戏产业发展大数据平台及影视数字港为核心的“云上小镇”，计划四大核心平台全面上线，将园区入驻企业整体上云。</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e游小镇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29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深入实施“人才精准引育”计划，通过e游学院“定向培育”、e游数字培训中心“精准孵化”及数字美术中心“虹吸集聚”，力争全年新增常驻人员1000人以上。</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e游小镇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依托数字文创产业资源禀赋，构建“企业制造+小镇出品”机制，打造一批根植于上虞优秀传统文化且具有小镇特色的经典文化IP；引导小镇企业为乡村振兴赋能添“e”，积极探索以秀合传媒参与岭南抖音基地民宿、长塘乡村活动运营等为代表的文旅项目，致力于将影视、文化、娱乐、旅游等相关产业深度融合，助力打造具有上虞辨识度的共同富裕示范区。</w:t>
            </w:r>
          </w:p>
        </w:tc>
        <w:tc>
          <w:tcPr>
            <w:tcW w:w="2016" w:type="dxa"/>
            <w:vAlign w:val="center"/>
          </w:tcPr>
          <w:p>
            <w:pPr>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e游小镇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b/>
                <w:bCs/>
                <w:color w:val="000000"/>
                <w:sz w:val="24"/>
              </w:rPr>
              <w:t>二、聚力强村富民提速赋能，打造合理分配共富格局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加强高校毕业生、退役军人、困难群体等重点人员就业支持，确保“零就业”家庭动态清零，新增城镇就业3.5万人，新增就业大学生2万人。</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深入实施乡村振兴战略，加快推进农村一二三产融合发展，完善“三位一体”农合联改革，积极培养新型经营主体，持续培育乡村旅游、乡村民宿、文化创意、农村电商等乡村经济新业态新模式，壮大乡村经济。</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区农业农村局、供销总社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lang w:val="zh-CN"/>
              </w:rPr>
            </w:pPr>
            <w:r>
              <w:rPr>
                <w:rFonts w:hint="default" w:ascii="Times New Roman" w:hAnsi="Times New Roman" w:eastAsia="仿宋_GB2312" w:cs="Times New Roman"/>
                <w:color w:val="000000"/>
                <w:sz w:val="24"/>
              </w:rPr>
              <w:t>消除年经营性收入40万元以下的村，80%的村集体经营性收入达到50万元以上。低收入农户人均可支配收入达21200元，同比增长10%以上。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深化与省农科院科技协作，深入实施科技强农、机械强农“双强行动”，重点在现代种业、农业机械等领域实施一批重大科技项目，抓好一批重大科技示范平台建设，加快推动农业科技成果转化。</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35</w:t>
            </w:r>
          </w:p>
        </w:tc>
        <w:tc>
          <w:tcPr>
            <w:tcW w:w="12007" w:type="dxa"/>
            <w:vAlign w:val="center"/>
          </w:tcPr>
          <w:p>
            <w:pPr>
              <w:tabs>
                <w:tab w:val="left" w:pos="1412"/>
              </w:tabs>
              <w:overflowPunct w:val="0"/>
              <w:adjustRightInd w:val="0"/>
              <w:snapToGrid w:val="0"/>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打破行业、地域、层级界限，组建校企地、毗邻互通、村企协作等多种类型的党建联盟，打造组团增收的富裕共同体。</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深入推进新时代美丽行动、“五星3A”迭代升级，实施村级集体经济巩固提升新三年行动，扩大低收入农户扶助政策覆盖面，充分发挥财政资金“四两拨千斤”的撬动效益，吸引更多资金投入乡村建设。</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充分运用本地丰厚的乡贤资源，继续擦亮新乡贤工作特色品牌，继续健全区领导挂钩联系、乡贤参事、乡情通报等多项制度，积极引导新乡贤参与乡村振兴、助力共同富裕。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落实全省十万农创客培育工程，加大全区农创客培育力度，加大农创客政策产业扶持、实用技能培训力度。加快推进“农创智谷”、数字农业综合体等平台建设，激活乡村创业创新，实现人才与产业互促提升。</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高质量举办上虞区乡贤大会，多形式举办乡贤招商推介会、虞商联谊会年会等，在原有数量基础上，积极组建1-2个外地虞商联谊会（石家庄、厦门等）。</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持续开展“三新育乡贤”、新青蓝工程等新乡贤培育活动。</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持续做好第四轮慈善冠名基金增值金的收缴工作，开展“慈善一日捐”活动。</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切实发挥慈善总会区域性、联合性、行业性慈善组织作用，推进慈善信投，带动其他公益慈善组织全面发展，新增慈善组织2家以上。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加强慈善行为事中事后监管，依托省市慈善系统平台，推动“互联网+慈善”发展。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b/>
                <w:bCs/>
                <w:color w:val="000000"/>
                <w:sz w:val="24"/>
              </w:rPr>
              <w:t>三、聚力城乡统筹提档融合，打造区域协调共富风貌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落实“6+9”重大交通项目建设，包括104国道绍兴东湖至蒿坝段改建工程上虞段、风情线百官站、南北中心大道江东路互通和杭绍甬高速公路上虞段及崧厦连接线、南北中心大道（人民大道至江东北路）快速路工程、329国道上虞盖北至道墟段改建工程上虞段、新东线公路工程上虞段等项目。</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深化农村公路管理养护体制改革，建立农村公路管理养护长效机制。开展农村公路防灾减灾能力综合提升工程，提高交通防灾减灾能力。</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开展促共同富裕打通农村公路“断头路”建设行动，集中资源重点打通乡镇（街道）相连地区、重要旅游资源相邻地区的断头路2条及以上。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积极开展农村生活污水强基增效双提标行动，完成污水处理终端改造298个，实现农村生活污水运维全覆盖</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新增停车位1500只，完成省级绿道2、3、5号线建设，新建改造城区道路10公里，完成交通治堵点1个，改造高速入城口1个。</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49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初步排定2个城中村改造项目，有序推动建设“城中村改造共同富裕示范村”；完成2022年城市基础设施提升建设工程，包括市政、园林、草花等多类民生实事项目，总投资额6000万元；改造城镇老旧小区8个，总建筑面积42万平方米，惠及居民3336户。</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进以未来社区为基本单元的网络大城市建设，加快鸿雁未来社区项目建设进度，打造鸿雁未来社区、南丰未来社区等示范性项目；逐步推动前江未来社区、孝德未来社区完成实施方案、项目立项等工作；结合老旧小区改造，申报创建上虞区第五批未来社区建设项目。</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51</w:t>
            </w:r>
          </w:p>
        </w:tc>
        <w:tc>
          <w:tcPr>
            <w:tcW w:w="12007" w:type="dxa"/>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完成省厅下达的2100亩新建高标准农田建设项目，计划投资630万元，并提前完成省“十四五”规划内全区41.41万亩高标准农田建设的任务。</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52</w:t>
            </w:r>
          </w:p>
        </w:tc>
        <w:tc>
          <w:tcPr>
            <w:tcW w:w="12007" w:type="dxa"/>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重点完成绍兴市上虞区崧厦街道绿色农田建设项目，建设面积3000亩，计划投资1350万元，其中省级财政900万元，区级配套450万元。</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53</w:t>
            </w:r>
          </w:p>
        </w:tc>
        <w:tc>
          <w:tcPr>
            <w:tcW w:w="12007" w:type="dxa"/>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完成农村宅基地基础信息调查，推出应用宅基地数字化管理系统，出台各类宅基地管理和监督政策细则，实施宅改项目2个以上，宅基地制度改革试点初出成效。</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54</w:t>
            </w:r>
          </w:p>
        </w:tc>
        <w:tc>
          <w:tcPr>
            <w:tcW w:w="12007" w:type="dxa"/>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计划开展5个未来乡村建设，围绕未来产业、风貌、文化、邻里、健康、低碳、交通、智慧、治理等场景，深入实施乡村振兴战略，着力构建引领数字生活体验、呈现未来元素、彰显江南韵味的乡村新社区。</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提升改造供水管网5公里以上，加强城乡供水数字化统管平台建设，整合水厂、二次供水泵站、农饮水、管网监控等平台数据，实现“一图管理”，全面实现数字化管护。</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推动盖北和新疆阿瓦提县阿依巴格镇开展党建引领共同富裕项目，结成葡萄产业联盟。</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b/>
                <w:bCs/>
                <w:color w:val="000000"/>
                <w:sz w:val="24"/>
              </w:rPr>
              <w:t>四、聚力公共服务提标普惠，打造优质均衡共富图景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加快研究新的优育政策，积极应对人口出生率下行趋势。</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区发改局、区委改革办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争创省“互联网+义务教育”示范区。全区参与教共体建设的学校比例达 70%，其中参与跨学段、跨乡镇（街道）、跨区域教共体的学校比例达到 30%，农村学校参与教共体比例达到 100%。探索援疆、援川、援藏的帮扶合作新模式。</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59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百官街道中心幼儿园金昌樾府园区、爱弥儿幼儿园云栖龙山园区装修并投入使用，提供720个优质学位；加快南湖中心幼儿园改建工程和铂樾府小区配套幼儿园的前期准备工作，推进谢塘镇、章镇镇、永和镇中心幼儿园易地新建和盖北镇中心幼儿园扩建工程，满足更多群众对优质学位的需求。</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积极争创省一级、二级和省现代化幼儿园，提高省二级以上优质园所在园儿童覆盖面，新增省一级园1所，二级园3-4所。</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规范学科类培训机构监管，建设校外培训机构统一监管平台；优化学生课后服务内容，研究课后服务拓展性课程的社会师资准入机制，培育课后服务示范性学校，启动暑期校内托管服务。</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深入实施《绍兴市农村幼儿园提质二十条》，实行一镇（乡）一策、一园一策，通过优化一批、转制一批、撤并一批的方式，努力提升农村幼儿园品质，消除低档次幼儿园。</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计划新增持证养老护理员170人，积极探索养老护理员政策待遇落实，发放从业补贴。计划进村下乡开展养老护理知识宣讲20场，积极探索银铃互助式养老。</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结合2022年省政府民生实事须在养老机构或居家养老机构相对独立区域以“小单元”模式建设认知症照护床位的目标任务要求，开展以认知症老人的日常生活照护、生活自理能力培养、精神支持、社会交往等专业性、全方位服务知识培训，培养出一支认知症专业照护队伍，搭建认知症老人与社会交流平台，为认知症家庭提供支持性服务。</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解决全区特别是农村独居、孤寡、失能失智等困难老年人吃饭难问题，在每个镇街已建老年食堂的基础上，合理布局，增设老年人就餐点位。新增老年食堂3家，品质提升老年食堂5家。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大力推进儿童之家建设，发放困境儿童生活补贴，形成城乡困境儿童有人管有人帮有人爱的良好局面。</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区民政局、区妇联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推动乡镇（街道）卫生院（社区卫生服务中心）5G远程会诊系统全覆盖，积极探索未来社区（未来乡村）健康场景建设，创建至少1个智慧化社区卫生服务站。</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化医共体改革，推进医疗卫生资源配置均等化，加快邵逸夫医院绍兴院区、区疾控中心综合实验楼、上虞城南医用综合中心二期建设，完成上浦镇卫生院异地新建工程，新建（改扩建）3家村卫生室；加强基层网底建设，深化“优质服务基层行”活动，实现全区4家乡镇（街道）卫生院（社区卫生服务中心）达到国家推荐标准，提升基层卫生院服务能力。</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69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扩大健康服务覆盖面，在城乡居民健康体检常规项目的基础上新增4个肿瘤检测指标，开展老年人免费流感和肺炎疫苗接种、结直肠癌和慢性阻塞性肺疾病免费筛查。</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深化减窗增效行动，提升政务2.0系统应用水平，推进社保医保参保“一件事”经办。推进国统系统建设和试运行，一体推进做好国统系统上线和运行。</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打造“浙里医保·越惠保”精品，坚持“人群广覆盖、保障可衔接、制度可持续”原则，确保“参保率不低于70%、赔付率不低于90%、赔付覆盖面不低于2%”，确保困难人员资助参保率、医疗救助政策落实率“两个100%”落实到位。</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医疗保障分局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完善住房保障系统，新建保障性租赁住房项目6个3105套，发放公租房租赁补贴200户，保障性租赁住房租赁补贴4000户。</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纵深推进“虞快办·越满意”政务品牌建设，实现“上心服务虞快办”城乡全域全覆盖。探索区中心向镇街中心派驻专员机制，强化区中心对镇街、村社等基层便民服务工作的业务指导。建立健全“六个通办机制”，形成“六种办事模式”，扩大涉民事项在镇街、村社中心可办比例，力争80%省定民生事项在基层中心可办。推进镇街中心标准化建设和村社中心示范型创建，至年底标准化建设实现全覆盖，30%以上的村社中心达到示范型水平。</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楷体_GB2312" w:cs="Times New Roman"/>
                <w:b/>
                <w:bCs/>
                <w:color w:val="000000"/>
                <w:sz w:val="24"/>
              </w:rPr>
            </w:pPr>
            <w:r>
              <w:rPr>
                <w:rFonts w:hint="default" w:ascii="Times New Roman" w:hAnsi="Times New Roman" w:eastAsia="楷体_GB2312" w:cs="Times New Roman"/>
                <w:b/>
                <w:bCs/>
                <w:color w:val="000000"/>
                <w:sz w:val="24"/>
              </w:rPr>
              <w:t>五、聚力生态文明提效降碳，打造绿色循环共富环境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启动生物多样性调查和保护，调查做好野生动植物资源调查前期工作，摸清我区生物多样性本底。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启动“两山”基地创建，探索有辨识度的“两山”实践创新转化。对全区废物矿山进行大排查，着力解决矿山生态环境问题，完成山水林田湖草修复试点收官。</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强化杭州湾经开区异味治理，深入推进化工改造2.0版环保治理，持续开展“科学治废气”和VOCs源清单核查，持续推进PM2.5和臭氧浓度“双控双减”，完成工业涂装企业污染防治，环境空气质量稳定达标。</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巩固提升“污水零直排”建设成果，推进“数字化长效运维”试点，扩面提升地下管网监管水平。开展曹娥江流域水生态调查和虞北平原河流水污染摸底，推进杭州湾经开区污水零直排标杆园区建设，全域水环境不断改善。</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进一步深化全域“无废城市”建设，开展土壤污染源溯源治理，确保地下水水质稳定达标、受污染土壤安全利用，实施工业园区地下水整治提升。推广固体废物全生命周期职能监管，优化固废收运处置一体化服务，打造全覆盖、全收集、全处理的“无废上虞”。</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79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高水平迭代升级美丽河湖建设，全域实施“一江十河百溪水美”工程，建设省级幸福河湖示范县，创成省市美丽河湖4条，乡村美丽河湖35条以上。</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exac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大力实施产业招引提质、传统产业变革、清洁能源替代、关键技术攻坚、“双碳”数智改革、绿色生活创建“六大行动”。</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exac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楷体_GB2312" w:cs="Times New Roman"/>
                <w:b/>
                <w:bCs/>
                <w:color w:val="000000"/>
                <w:sz w:val="24"/>
              </w:rPr>
              <w:t>六、聚力文化实力提升赋能，打造精神生活共富高地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完成地方课程《孝德教育》教材新版修订工作，列入省编发行目录，区域性推进《孝德教育》教材进我区中小学课程、课堂。</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扎实开展上虞区中小学“日行一善”崇孝主题教育，通过读孝敬书、做孝敬事、写孝敬文等系列活动，进一步营造孝德主题教育氛围，深化知孝践孝的成效。</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完善上虞“趣研学”研学活动数字化评价平台的建设，进一步增加爱国主义教育、红色革命主题、非遗文化传承展厅场馆纳入平台，鼓励广大青少年开展主题研学活动，2022年力争5万以上的中小学生参与其中。</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在我区中小学中开展区级“百名孝星”、“十佳孝星标兵”评选活动，广泛选树典型榜样。</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大力推进“体育+”发展，办好省市区三级体育民生实事，繁荣各类体育赛事,完善公共体育服务体系建设，通过浙江省体育现代化区评估验收。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以“新时代孝德文化传承地”项目清单为抓手，推进省级孝德文化传承生态保护区创建，高质量建好孝德文化小镇，办好孝文化节，打造孝德城市雕塑。</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72"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实现文艺精品创作新突破，争取获得浙江省精神文明建设“五个一工程”奖。</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深入实施《新时代孝德文化传承地规划》，大力推进省级孝德文化传承生态保护区创建，确保高标准通过省级验收。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89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做强“瓷之源”品牌，启动越窑青瓷窑申报世界文化遗产前期工作，推进凤凰山考古遗址公园申报国家级考古遗址公园；举办高级别“越地论瓷”全国越窑青瓷大奖赛、聚焦瓷源的高峰论坛对话及龙窑开窑节等活动，造浓氛围；加强与中科院上海硅酸盐研究所的合作，筹备设立硅所在虞基地。</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博物馆展陈施工并开馆，打造文化地标；盘活老博物馆空间，引进民办博物馆；完成剧院改造提升工程，打响“上虞有戏”大舞台品牌；高质量运行好曹娥江文化客厅，常态化举办活动，构建“15分钟品质文化生活圈”；推进公共图书馆服务大提升，新建城市书房4家，天香书吧5家。</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91</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巩固提升“文化下乡”“娥江颂”“主题教育巡演”“文化走亲”等活动品牌，持续提高“送文化”覆盖面和质量，全年配送390场，实现省公共文化服务排名指标持续晋位。</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92</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推进“智慧文体”上线运营，打造公共文化服务“智慧+”生态圈。</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795" w:type="dxa"/>
            <w:gridSpan w:val="3"/>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楷体_GB2312" w:cs="Times New Roman"/>
                <w:b/>
                <w:bCs/>
                <w:color w:val="000000"/>
                <w:sz w:val="24"/>
              </w:rPr>
              <w:t>七、聚力社会治理提优强基，打造多元协同共富路径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93</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全面推行党建共同体“1+X”建设，以党建为纽带，以组织共建为基本方法，打造全域党建联盟，实现协同发展。</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94</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开展“强网壮格”行动，实现日常情况“组团服务”，突发情况“组团作战”，探索一条具有上虞辨识度的网格治理模式。加强网格党建，推动党组织在网格全覆盖。优化网格设置，构建“网下设格、一网多格”网格治理新格局。优化人员配置，配齐配强网格长、专兼职网格员、格长等网格管理团队。建设网格驿站，打造网格员碰头会商、交流议事、业务培训等活动的专属阵地。</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区委政法委、区委组织部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95</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围绕“护鼎加星”目标，风险闭环管控的大平安机制更加完善，创成“平安区”，平安上虞建设走在全省前列。建立“除险保安”晾晒工作机制，构建更加完备系统的风险识别与闭环管控大平安体系。推进第三轮20个“平安共同体”创建，基本实现平安核心区全域辐射。推进“双月领衔”专项行动，加强平安建设突出问题专项整治。推进系列平安建设，推动各行业、领域、单位深化平安建设。</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96</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完善平战结合疫情防控体系，从严从紧抓好常态化疫情防控工作。</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97</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加快构建综合行政执法体系，到2022年底区级综合行政执法事项比例达到20%以上；行政执法统筹协调指挥机制和平台全面建立；深化乡镇（街道）“一支队伍管执法”，推动执法力量进一步下沉，乡镇（街道）执法力量占60%。</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98</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启动治安防控体系三年计划，不断提升执法司法规范化水平，更加完善公共法律服务体系，保持群众安全感满意度持续提升。</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99</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持续开展安全生产综合整治三年行动，抓好危化品等重点领域安全隐患排查，组建国家级化工园区专业消防大队，确保安全生产事故起数和死亡人数实现“双下降”。</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2"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100</w:t>
            </w:r>
          </w:p>
        </w:tc>
        <w:tc>
          <w:tcPr>
            <w:tcW w:w="12007" w:type="dxa"/>
            <w:vAlign w:val="center"/>
          </w:tcPr>
          <w:p>
            <w:pPr>
              <w:overflowPunct w:val="0"/>
              <w:adjustRightInd w:val="0"/>
              <w:snapToGrid w:val="0"/>
              <w:spacing w:line="30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大力推进防灾减灾能力提升“五十百”工程。</w:t>
            </w:r>
          </w:p>
        </w:tc>
        <w:tc>
          <w:tcPr>
            <w:tcW w:w="2016" w:type="dxa"/>
            <w:vAlign w:val="center"/>
          </w:tcPr>
          <w:p>
            <w:pPr>
              <w:overflowPunct w:val="0"/>
              <w:adjustRightInd w:val="0"/>
              <w:snapToGrid w:val="0"/>
              <w:spacing w:line="30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区发改局</w:t>
            </w:r>
          </w:p>
        </w:tc>
      </w:tr>
    </w:tbl>
    <w:p>
      <w:pPr>
        <w:overflowPunct w:val="0"/>
        <w:adjustRightInd w:val="0"/>
        <w:snapToGrid w:val="0"/>
        <w:spacing w:line="300" w:lineRule="exact"/>
        <w:jc w:val="center"/>
        <w:rPr>
          <w:rFonts w:hint="default" w:ascii="Times New Roman" w:hAnsi="Times New Roman" w:eastAsia="仿宋_GB2312" w:cs="Times New Roman"/>
          <w:color w:val="000000"/>
          <w:sz w:val="24"/>
        </w:rPr>
      </w:pPr>
    </w:p>
    <w:p>
      <w:pP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br w:type="page"/>
      </w:r>
      <w:r>
        <w:rPr>
          <w:rFonts w:hint="default" w:ascii="Times New Roman" w:hAnsi="Times New Roman" w:eastAsia="黑体" w:cs="Times New Roman"/>
          <w:bCs/>
          <w:color w:val="000000"/>
          <w:sz w:val="32"/>
          <w:szCs w:val="32"/>
        </w:rPr>
        <w:t>附件3</w:t>
      </w:r>
    </w:p>
    <w:p>
      <w:pPr>
        <w:snapToGrid w:val="0"/>
        <w:spacing w:line="560" w:lineRule="exact"/>
        <w:jc w:val="center"/>
        <w:rPr>
          <w:rFonts w:hint="default" w:ascii="Times New Roman" w:hAnsi="Times New Roman" w:eastAsia="方正小标宋简体" w:cs="Times New Roman"/>
          <w:bCs/>
          <w:color w:val="000000"/>
          <w:sz w:val="40"/>
          <w:szCs w:val="40"/>
        </w:rPr>
      </w:pPr>
      <w:r>
        <w:rPr>
          <w:rFonts w:hint="default" w:ascii="Times New Roman" w:hAnsi="Times New Roman" w:eastAsia="方正小标宋简体" w:cs="Times New Roman"/>
          <w:bCs/>
          <w:color w:val="000000"/>
          <w:sz w:val="40"/>
          <w:szCs w:val="40"/>
        </w:rPr>
        <w:t>“共同富裕提质年”重大改革清单</w:t>
      </w:r>
    </w:p>
    <w:p>
      <w:pPr>
        <w:pStyle w:val="32"/>
        <w:snapToGrid w:val="0"/>
        <w:spacing w:line="240" w:lineRule="exact"/>
        <w:rPr>
          <w:rFonts w:hint="default" w:ascii="Times New Roman" w:hAnsi="Times New Roman" w:eastAsia="黑体" w:cs="Times New Roman"/>
          <w:bCs/>
          <w:color w:val="000000"/>
          <w:sz w:val="28"/>
          <w:szCs w:val="28"/>
        </w:rPr>
      </w:pPr>
    </w:p>
    <w:tbl>
      <w:tblPr>
        <w:tblStyle w:val="16"/>
        <w:tblW w:w="14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29"/>
        <w:gridCol w:w="7754"/>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blHeader/>
          <w:jc w:val="center"/>
        </w:trPr>
        <w:tc>
          <w:tcPr>
            <w:tcW w:w="941" w:type="dxa"/>
          </w:tcPr>
          <w:p>
            <w:pPr>
              <w:overflowPunct w:val="0"/>
              <w:adjustRightInd w:val="0"/>
              <w:snapToGrid w:val="0"/>
              <w:spacing w:line="48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序号</w:t>
            </w:r>
          </w:p>
        </w:tc>
        <w:tc>
          <w:tcPr>
            <w:tcW w:w="1929" w:type="dxa"/>
          </w:tcPr>
          <w:p>
            <w:pPr>
              <w:overflowPunct w:val="0"/>
              <w:adjustRightInd w:val="0"/>
              <w:snapToGrid w:val="0"/>
              <w:spacing w:line="480" w:lineRule="exac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名称</w:t>
            </w:r>
          </w:p>
        </w:tc>
        <w:tc>
          <w:tcPr>
            <w:tcW w:w="7754" w:type="dxa"/>
            <w:vAlign w:val="center"/>
          </w:tcPr>
          <w:p>
            <w:pPr>
              <w:overflowPunct w:val="0"/>
              <w:adjustRightInd w:val="0"/>
              <w:snapToGrid w:val="0"/>
              <w:jc w:val="center"/>
              <w:textAlignment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改革举措</w:t>
            </w:r>
          </w:p>
        </w:tc>
        <w:tc>
          <w:tcPr>
            <w:tcW w:w="4334" w:type="dxa"/>
            <w:vAlign w:val="center"/>
          </w:tcPr>
          <w:p>
            <w:pPr>
              <w:overflowPunct w:val="0"/>
              <w:adjustRightInd w:val="0"/>
              <w:snapToGrid w:val="0"/>
              <w:jc w:val="center"/>
              <w:textAlignment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958" w:type="dxa"/>
            <w:gridSpan w:val="4"/>
          </w:tcPr>
          <w:p>
            <w:pPr>
              <w:overflowPunct w:val="0"/>
              <w:adjustRightInd w:val="0"/>
              <w:snapToGrid w:val="0"/>
              <w:spacing w:line="480" w:lineRule="exact"/>
              <w:ind w:firstLine="482" w:firstLineChars="20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4"/>
              </w:rPr>
              <w:t>“扩中提低”改革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2"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电机产业大脑</w:t>
            </w:r>
          </w:p>
        </w:tc>
        <w:tc>
          <w:tcPr>
            <w:tcW w:w="7754" w:type="dxa"/>
            <w:vAlign w:val="center"/>
          </w:tcPr>
          <w:p>
            <w:pPr>
              <w:numPr>
                <w:ilvl w:val="0"/>
                <w:numId w:val="2"/>
              </w:num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按照“政府主导、企业主体、价值导向、社会共建”的原则，由上虞区政府作为建设试点承接主体，充分发挥链主企业卧龙电机对电机行业的引领作用，引入国资和产业生态企业参与共同出资1.5亿元，成立了第三方建设运营公司。</w:t>
            </w:r>
          </w:p>
          <w:p>
            <w:pPr>
              <w:numPr>
                <w:ilvl w:val="0"/>
                <w:numId w:val="2"/>
              </w:numPr>
              <w:spacing w:line="260" w:lineRule="exact"/>
              <w:ind w:left="0" w:leftChars="0" w:firstLine="0" w:firstLineChars="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围绕“产业大脑+未来工厂”核心架构，聚焦电机产业改革需求，按照全省产业大脑顶层设计提出的系统架构，突出电机产业链上下游企业、企业与政府间的协同和数据共享，形成面向产业生态的跨行业、跨企业、跨领域的多跨场景。</w:t>
            </w:r>
          </w:p>
          <w:p>
            <w:pPr>
              <w:numPr>
                <w:numId w:val="0"/>
              </w:numPr>
              <w:spacing w:line="260" w:lineRule="exact"/>
              <w:ind w:leftChars="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从生产端、服务端、治理端等三大维度实现数据共享，打通企业内、企业间、政企间的数据壁垒，做到活用数据、智用数据、用好数据，实现电机生态产业链生产方式、产业形式、商业模式、企业形态的变革重塑。</w:t>
            </w:r>
          </w:p>
        </w:tc>
        <w:tc>
          <w:tcPr>
            <w:tcW w:w="4334" w:type="dxa"/>
            <w:vAlign w:val="center"/>
          </w:tcPr>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完善电机产业大脑应用场景建设，建成场景应用15个以上，集成开发工业APP50个以上，应用企业数量超过2000家，链接设备数量超过1500台，采集数据点数超过5000个。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进一步推进科技成果转移转化</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依托省、市级科技大市场，搭建科技成果转移转化平台，完善科技成果登记制度和企业科技需求发布机制，加强与国内外高校、科研院所的战略合作，鼓励企业以购买、兼并等多种形式加快先进成果应用与转化。</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全年引育科技成果350项以上，实现技术交易额25亿元。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9"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929" w:type="dxa"/>
            <w:vAlign w:val="center"/>
          </w:tcPr>
          <w:p>
            <w:pPr>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健全曹娥江经开区运行机制</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1.创新建立曹娥江经开区运行机制，实现跨镇街实质性整合，全面统筹区域规划、招商等，形成工作合力。</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2.实体化设置管理机构，成立曹娥江经开区管委会，作为区政府派出机构，机构规格为正科级。同时，设立曹娥江经开区党工委。</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3.按照“精简、效能、统一”原则，设置“一办三科一中心”，具体为综合办公室、经济发展科、自然资源和规划科、财政审计科、招商中心（下属事业单位）。设立国有企业1家。</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4.完善系列配套体质机制，主要包括考核机制、管委会与属地职责、财政体制、干部人事和薪酬管理制度等。</w:t>
            </w:r>
          </w:p>
          <w:p>
            <w:pPr>
              <w:spacing w:line="300" w:lineRule="exact"/>
              <w:jc w:val="left"/>
              <w:textAlignment w:val="center"/>
              <w:rPr>
                <w:rFonts w:hint="default" w:ascii="Times New Roman" w:hAnsi="Times New Roman" w:eastAsia="仿宋_GB2312" w:cs="Times New Roman"/>
                <w:sz w:val="24"/>
              </w:rPr>
            </w:pPr>
          </w:p>
        </w:tc>
        <w:tc>
          <w:tcPr>
            <w:tcW w:w="4334" w:type="dxa"/>
            <w:vAlign w:val="center"/>
          </w:tcPr>
          <w:p>
            <w:pPr>
              <w:spacing w:line="300" w:lineRule="exac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力争通过五年时间，打造成为杭州湾南翼智造新基地、长三角协同创新发展新平台和全省开发区（园区）提升发展新样板。到2025年，经济总量冲千亿，工业集中度达40%，产业集聚度达70%；新设外商投资企业30家以上，引进外资2亿美元以上；新增上市公司（含新三板）1家，新培育认定“隐形冠军”企业10家；规上工业高新技术产业增加值占规上工业增加值比重达53%；园区亩均税收达30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958" w:type="dxa"/>
            <w:gridSpan w:val="4"/>
          </w:tcPr>
          <w:p>
            <w:pPr>
              <w:overflowPunct w:val="0"/>
              <w:adjustRightInd w:val="0"/>
              <w:snapToGrid w:val="0"/>
              <w:spacing w:line="480" w:lineRule="exact"/>
              <w:ind w:firstLine="482" w:firstLineChars="200"/>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缩小地区差距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0"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促共同富裕农村公路提质增效综合改革</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1.深化农村公路管理养护体制改革，建立农村公路管理养护长效机制，进一步巩固我区"四好农村路"全省示范县成果，努力争创全国示范。</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开展促共同富裕打通农村公路“断头路”建设行动，集中资源重点打通乡镇（街道）相连地区、重要旅游资源相邻地区的断头路，实现各乡镇（街道）农村公路互联互通，“大循环+小循环”多层次畅达，形成以县道公路为主干、乡村道路为脉络的现代化农村公路网络体系，串联乡镇（街道）旅游资源，赋予乡村振兴更多活力。</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3.开展农村公路防灾减灾能力综合提升工程，对保证居民出行的主要交通线路进行隐患治理、功能修复、加强监控，提高交通防灾减灾能力，确保运营安全。</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4.推行路长制数字化管理平台运用，实时掌握农村公路养护情况，提升农村公路精细化管理能力。</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1.制订并印发《上虞区农村公路养护与管理办法》；</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2.启动共同富裕打通农村公路“断头路”建设工程；</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3.启动2022年交通防灾减灾能力综合提升工程；</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4.运行路长制数字化APP</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紧紧围绕实施乡村振兴战略，全面提升农村公路管理养护质量，提升交通保障能力，促进城乡融合发展，促进共同富裕，推动高质量建设“四好农村路”，为“重要窗口”建设提供坚强支撑。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958" w:type="dxa"/>
            <w:gridSpan w:val="4"/>
          </w:tcPr>
          <w:p>
            <w:pPr>
              <w:overflowPunct w:val="0"/>
              <w:adjustRightInd w:val="0"/>
              <w:snapToGrid w:val="0"/>
              <w:spacing w:line="480" w:lineRule="exact"/>
              <w:ind w:firstLine="482" w:firstLineChars="200"/>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缩小城乡差距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929" w:type="dxa"/>
            <w:vAlign w:val="center"/>
          </w:tcPr>
          <w:p>
            <w:pPr>
              <w:spacing w:line="300" w:lineRule="exact"/>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民宿（农家乐）助力乡村振兴</w:t>
            </w:r>
          </w:p>
        </w:tc>
        <w:tc>
          <w:tcPr>
            <w:tcW w:w="7754" w:type="dxa"/>
            <w:vAlign w:val="center"/>
          </w:tcPr>
          <w:p>
            <w:pPr>
              <w:numPr>
                <w:ilvl w:val="0"/>
                <w:numId w:val="0"/>
              </w:numPr>
              <w:spacing w:line="300" w:lineRule="exact"/>
              <w:ind w:leftChars="0"/>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规范服务立标准。成立民宿集聚区联盟（行业协会），制定统一的服务标准，进一步提升服务水平和质量。</w:t>
            </w:r>
          </w:p>
          <w:p>
            <w:pPr>
              <w:numPr>
                <w:ilvl w:val="0"/>
                <w:numId w:val="0"/>
              </w:numPr>
              <w:spacing w:line="300" w:lineRule="exact"/>
              <w:ind w:leftChars="0"/>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拓宽渠道引人才。搭建民宿管家、店长等服务人员招揽、交流平台，通过培训、实习等形式培养一批独特的上虞“民宿人才”。</w:t>
            </w:r>
          </w:p>
          <w:p>
            <w:pPr>
              <w:numPr>
                <w:ilvl w:val="0"/>
                <w:numId w:val="0"/>
              </w:numPr>
              <w:spacing w:line="300" w:lineRule="exact"/>
              <w:ind w:leftChars="0"/>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3.推陈出新做产品。尝试把民宿经营与文创产品、四季仙果、自然景观和文化传承等有机结合起来，打造具有上虞专属印记的产品。</w:t>
            </w:r>
          </w:p>
        </w:tc>
        <w:tc>
          <w:tcPr>
            <w:tcW w:w="4334" w:type="dxa"/>
            <w:vAlign w:val="center"/>
          </w:tcPr>
          <w:p>
            <w:pPr>
              <w:spacing w:line="300" w:lineRule="exact"/>
              <w:jc w:val="left"/>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打造管溪民宿、山居岭南等民宿集聚区，推动民宿产业向更深层次、更高质量、更优供给方向发展，带动乡村经济更好更快发展。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958" w:type="dxa"/>
            <w:gridSpan w:val="4"/>
          </w:tcPr>
          <w:p>
            <w:pPr>
              <w:overflowPunct w:val="0"/>
              <w:adjustRightInd w:val="0"/>
              <w:snapToGrid w:val="0"/>
              <w:spacing w:line="480" w:lineRule="exact"/>
              <w:ind w:firstLine="482" w:firstLineChars="200"/>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公共服务优质共享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深化公安“放管服”改革</w:t>
            </w:r>
          </w:p>
        </w:tc>
        <w:tc>
          <w:tcPr>
            <w:tcW w:w="7754" w:type="dxa"/>
            <w:vAlign w:val="center"/>
          </w:tcPr>
          <w:p>
            <w:pPr>
              <w:numPr>
                <w:ilvl w:val="0"/>
                <w:numId w:val="3"/>
              </w:num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制定新生儿落户“跨省通办”试点工作方案，实现业务一窗受理、数据资源跨区域互联共享。</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浙江省居住证》互认转换改革试点，持有《浙江省居住证》的新居民满足条件的，或在浙江省除上虞外其他区县居住登记的，累计连续登记满六个月的，可以在上虞区域范围内进行居住证互认转换，享受上虞区基本公共服务和同城待遇。</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聚焦群众急难愁盼，持续深化“放管服”改革工作，创新保障在虞新居民安居乐业举措。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公安分局“局长直通车”二级架构体系</w:t>
            </w:r>
          </w:p>
        </w:tc>
        <w:tc>
          <w:tcPr>
            <w:tcW w:w="7754" w:type="dxa"/>
            <w:vAlign w:val="center"/>
          </w:tcPr>
          <w:p>
            <w:pPr>
              <w:numPr>
                <w:numId w:val="0"/>
              </w:num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完善架构增“班次”。搭建“局长直通车”二级架构体系，在各派出所以及交警大队分别建设“所长直通车”和“交管直通车”，方便群众诉求就近办理。</w:t>
            </w:r>
          </w:p>
          <w:p>
            <w:pPr>
              <w:numPr>
                <w:numId w:val="0"/>
              </w:num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升级平台添“动力”。改造升级“局长直通车”内部办件系统，开设所队级单位民意诉求输入入口，采取数字化手段归集民意数据，设置6个层级18大类共76个标签，对群众咨询、诉求进行关联融合、关键词标注，实现一网录入、一网管理、一网展示。</w:t>
            </w:r>
          </w:p>
          <w:p>
            <w:pPr>
              <w:numPr>
                <w:numId w:val="0"/>
              </w:num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闭环运行提“效能”。</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建立“接收民意诉求—单位领导审阅办理-—办结访评反馈”办事流程，对于无法自主办结群众诉求，协同“局长直通车”联动多部门力量办理，提高民意诉求办结率。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检查检验结果互认共享</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全面推进医疗机构间医学检查检验结果互认共享改革，充分发挥质控体系作用，确保医疗质量和安全。</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2022年一季度末，医学检查检验结果互认向二级甲等以下医院及基层医疗机构延伸，全面实现省-市-县三级医疗机构间医学检查检验结果互认。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1929"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深化商事登记制度改革，激发创业创新活力</w:t>
            </w:r>
          </w:p>
        </w:tc>
        <w:tc>
          <w:tcPr>
            <w:tcW w:w="7754"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全面提升企业开办、注销便利度，推行企业开办、注销“两环节、一日办、零费用”，市场主体登记网办率力争达到90%以上，新设市场主体营业执照办理时间基本压减至2小时内。</w:t>
            </w:r>
          </w:p>
        </w:tc>
        <w:tc>
          <w:tcPr>
            <w:tcW w:w="4334"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2022年计划新增市场主体1.2万家以上，新增“个转企”230家以上。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92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绍兴市上虞区环评制度与排污许可衔接改革市级试点</w:t>
            </w:r>
          </w:p>
        </w:tc>
        <w:tc>
          <w:tcPr>
            <w:tcW w:w="7754" w:type="dxa"/>
            <w:vAlign w:val="center"/>
          </w:tcPr>
          <w:p>
            <w:pPr>
              <w:adjustRightInd w:val="0"/>
              <w:snapToGrid w:val="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以排污许可证为载体，全面理顺排污许可证制度与环境影响评价制度的关系，通过明确管理类别、整合技术要求、优化审批流程、加强项目变动管理等举措，从程序上、内容上、管理上实现两项制度的有效衔接，推进环评与排污许可统一申报管理、统一技术要求、统一监管标准，以改善环境管理为目标，切实进一步优化服务效率、改进服务方式、创新管理模式，压实企业主体责任，强化事中事后监管。</w:t>
            </w:r>
          </w:p>
        </w:tc>
        <w:tc>
          <w:tcPr>
            <w:tcW w:w="4334" w:type="dxa"/>
            <w:vAlign w:val="center"/>
          </w:tcPr>
          <w:p>
            <w:pPr>
              <w:adjustRightInd w:val="0"/>
              <w:snapToGrid w:val="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2022年底前，实现排污许可制度与环境影响评价有效衔接，初步建立以排污许可证为核心载体的污染源“一证式”管理模式。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1929" w:type="dxa"/>
            <w:vAlign w:val="center"/>
          </w:tcPr>
          <w:p>
            <w:pPr>
              <w:adjustRightInd w:val="0"/>
              <w:snapToGrid w:val="0"/>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创建省级低碳试点县</w:t>
            </w:r>
          </w:p>
        </w:tc>
        <w:tc>
          <w:tcPr>
            <w:tcW w:w="7754" w:type="dxa"/>
            <w:vAlign w:val="center"/>
          </w:tcPr>
          <w:p>
            <w:pPr>
              <w:adjustRightInd w:val="0"/>
              <w:snapToGrid w:val="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以绿色低碳产业体系建设为主战场，以“双碳”数字化平台为重要支撑，实施产业招引提质、传统产业变革、清洁能源替代、关键技术攻坚、“双碳”数智改革、绿色生活创建“六大行动”，系统推进能源、工业、建筑、交通、农业、居民生活和科技“6+1”领域低碳发展。</w:t>
            </w:r>
          </w:p>
        </w:tc>
        <w:tc>
          <w:tcPr>
            <w:tcW w:w="4334" w:type="dxa"/>
            <w:vAlign w:val="center"/>
          </w:tcPr>
          <w:p>
            <w:pPr>
              <w:adjustRightInd w:val="0"/>
              <w:snapToGrid w:val="0"/>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到2023年，能耗强度、碳排放强度完成上级下达目标任务，创成省级低碳试点县，打造成为绿色低碳产业高质量发展引领区、碳达峰碳中和数字化改革示范区、全领域全过程低碳化转型先行区。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争创基层社会治理现代化建设先行示范区</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注重系统观念、法治思维、强基导向，区、镇、村三级联动，构建治理新格局，构建具有上虞辨识度的高质量社会治理体系。</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实现社会治理与社会调节、群众自治良性互动，打造一批基层治理品牌，提炼一批基层治理的上虞经验，治理能力不断提升。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1929"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基本公共服务标准体系：人社部基本公共服务标准化（社银通）试点</w:t>
            </w:r>
          </w:p>
        </w:tc>
        <w:tc>
          <w:tcPr>
            <w:tcW w:w="12088" w:type="dxa"/>
            <w:gridSpan w:val="2"/>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网点体系进一步健全完善。通过试点，加快“社银通”网点建设速度，提升标准化、规范化“社银通”网点和专兼经办人员数量，夯实基层人社公共服务“就近办”的基础。</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2.</w:t>
            </w:r>
            <w:r>
              <w:rPr>
                <w:rFonts w:hint="default" w:ascii="Times New Roman" w:hAnsi="Times New Roman" w:eastAsia="仿宋_GB2312" w:cs="Times New Roman"/>
                <w:sz w:val="24"/>
              </w:rPr>
              <w:t>服务能力进一步提升。进一步增加“社银通”网点承接的人社政务服务中公共服务事项数量，扩大事项经办环节权限， 探索“一件事”承接条件。</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标准层次进一步提升。总结《银行办理社保经办业务服务指南》浙江省级地方标准贯彻实施经验，整理归集其他地方的经验和做法，进一步规范、提升“社银通”网点和业务经办标准。</w:t>
            </w:r>
          </w:p>
          <w:p>
            <w:pPr>
              <w:spacing w:line="300" w:lineRule="exact"/>
              <w:jc w:val="left"/>
              <w:textAlignment w:val="center"/>
              <w:rPr>
                <w:rFonts w:hint="default" w:ascii="Times New Roman" w:hAnsi="Times New Roman" w:eastAsia="仿宋_GB2312" w:cs="Times New Roman"/>
                <w:b/>
                <w:bCs/>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治理能力进一步提升。通过试点，将进一步提升社银合作的广度和深度，特别是按照全周期管理理念，依托人社数字化改革成果，建立健全经办网点全流程运行的在线监督管理机制。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5"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安全环保综合应急改革</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组建体系。建立杭州湾上虞经济技术开发区安全环保应急指挥中心。试点属地政府、应急管理、生态环境等合署办公、统一领导，通过打通应急管理、生态环境、交通运输等业务系统的壁垒，实现多部门信息的集成共享，建设纵横贯通，多跨协同的一体化监管和指挥体系，形成“智慧监管+应急处置+技术服务”为一体的新机构。</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风险监测预警。2021年经开区入选应急管理部“工业互联网+危化安全生产”试点单位。根据应急管理部发布《“工业互联网+危化安全生产”试点建设方案》的要求，下一步经开区探索实施特殊作业过程管理、完成化工企业风险辨识、建设危化品智慧公共停车场、深化重大危险源安全生产风险监测预警等。</w:t>
            </w:r>
          </w:p>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摸清底数。以杭州湾上虞经济技术开发区成为全省第一批减污降碳协同试点创建单位为契机，以数字孪生推进减污降碳协同增效，依托全省碳达峰碳中和应用场景平台，建立“一本底账”和“三张清单”，摸清“碳家底”，搜集重点企业管理、污染减排、碳强度、能耗强度、协同管理等数据指标，探索建立经开区减污降碳指标体系。</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以数字化改革创新安全、环保管理新模式、新路径，在提升经开区安全生产、环境保护监管和执法水平的同时，有效促进资源集约化利用、高效化配置，降低行政管理成本和社会运行成本，达到降本增效的目的，推动实现“绿色安全、循环高效”的目标。推挤落实袁家军书记在全省碳达峰碳中和推进会上关于着力打造碳达峰碳中和数智平台的重要指示，打造减污降碳的上虞样本。</w:t>
            </w:r>
          </w:p>
          <w:p>
            <w:pPr>
              <w:spacing w:line="300" w:lineRule="exact"/>
              <w:jc w:val="center"/>
              <w:textAlignment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推进优化生育政策落地</w:t>
            </w:r>
          </w:p>
        </w:tc>
        <w:tc>
          <w:tcPr>
            <w:tcW w:w="12088" w:type="dxa"/>
            <w:gridSpan w:val="2"/>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以课题形式开展优育政策研究，通过座谈交流、问卷调查、外出学习取经等方式进行全方面调研；依托省级智库，研究探索符合实际的政策建议，并开展探索试点。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958" w:type="dxa"/>
            <w:gridSpan w:val="4"/>
          </w:tcPr>
          <w:p>
            <w:pPr>
              <w:overflowPunct w:val="0"/>
              <w:adjustRightInd w:val="0"/>
              <w:snapToGrid w:val="0"/>
              <w:spacing w:line="48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 xml:space="preserve">    精神生活共同富裕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b/>
                <w:bCs/>
                <w:sz w:val="24"/>
                <w:highlight w:val="yellow"/>
              </w:rPr>
            </w:pPr>
            <w:r>
              <w:rPr>
                <w:rFonts w:hint="default" w:ascii="Times New Roman" w:hAnsi="Times New Roman" w:eastAsia="仿宋_GB2312" w:cs="Times New Roman"/>
                <w:sz w:val="24"/>
              </w:rPr>
              <w:t>16</w:t>
            </w:r>
          </w:p>
        </w:tc>
        <w:tc>
          <w:tcPr>
            <w:tcW w:w="1929" w:type="dxa"/>
            <w:vAlign w:val="center"/>
          </w:tcPr>
          <w:p>
            <w:pPr>
              <w:spacing w:line="300" w:lineRule="exact"/>
              <w:jc w:val="center"/>
              <w:textAlignment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省级孝德文化传承生态保护区创建</w:t>
            </w:r>
          </w:p>
        </w:tc>
        <w:tc>
          <w:tcPr>
            <w:tcW w:w="12088" w:type="dxa"/>
            <w:gridSpan w:val="2"/>
            <w:vAlign w:val="center"/>
          </w:tcPr>
          <w:p>
            <w:pPr>
              <w:spacing w:line="300" w:lineRule="exact"/>
              <w:jc w:val="left"/>
              <w:textAlignment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制订《上虞区新时代孝德文化传承地建设规划（2021—2025年）》，实施孝德文化生态保护区建设三年行动计划，以孝文化传承生态保护区创建为抓手，推进孝德文化传承地保育、非遗保护和资源转化利用、“孝文化+多产业”嫁接等一系列工作举措，打造上虞文旅的大IP，全力打响新时代孝德文化传承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打造“邻居里”文化文明社区服务综合体</w:t>
            </w:r>
          </w:p>
        </w:tc>
        <w:tc>
          <w:tcPr>
            <w:tcW w:w="12088" w:type="dxa"/>
            <w:gridSpan w:val="2"/>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推动建立以居民需求和满意为第一导向，以爱心、细心、品质、品味为衡量标准，全方位、多层次、宽领域的工作体系，努力把“邻居里”建成为新时代文明实践的示范点。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打造“15 分钟品质文化生活圈”</w:t>
            </w:r>
          </w:p>
        </w:tc>
        <w:tc>
          <w:tcPr>
            <w:tcW w:w="12088" w:type="dxa"/>
            <w:gridSpan w:val="2"/>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优化城乡公共文化资源配置，实现农村文化礼堂全覆盖，推进智慧礼堂、城市书房、百姓书屋建设，提升图书馆、博物馆、文化馆服务功能，打造高水平城乡一体“15 分钟品质文化生活圈”。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958" w:type="dxa"/>
            <w:gridSpan w:val="4"/>
            <w:vAlign w:val="center"/>
          </w:tcPr>
          <w:p>
            <w:pPr>
              <w:overflowPunct w:val="0"/>
              <w:adjustRightInd w:val="0"/>
              <w:snapToGrid w:val="0"/>
              <w:spacing w:line="480" w:lineRule="exact"/>
              <w:ind w:firstLine="482" w:firstLineChars="200"/>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共同富裕基本单元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b/>
                <w:bCs/>
                <w:sz w:val="24"/>
              </w:rPr>
            </w:pPr>
            <w:r>
              <w:rPr>
                <w:rFonts w:hint="default" w:ascii="Times New Roman" w:hAnsi="Times New Roman" w:eastAsia="仿宋_GB2312" w:cs="Times New Roman"/>
                <w:sz w:val="24"/>
              </w:rPr>
              <w:t>19</w:t>
            </w:r>
          </w:p>
        </w:tc>
        <w:tc>
          <w:tcPr>
            <w:tcW w:w="1929" w:type="dxa"/>
            <w:vAlign w:val="center"/>
          </w:tcPr>
          <w:p>
            <w:pPr>
              <w:spacing w:line="30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南丰未来社区</w:t>
            </w:r>
          </w:p>
        </w:tc>
        <w:tc>
          <w:tcPr>
            <w:tcW w:w="775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南丰未来社区将进一步推进数字化改革，配合数字社会“12个有”多跨应用场景与未来社区九大场景有机融合，将着力推进智慧化平台建设、CIM平台升级、未来社区运营工作等，着力打造区域新格局，助力高质量发展建设共同富裕示范区。</w:t>
            </w:r>
          </w:p>
        </w:tc>
        <w:tc>
          <w:tcPr>
            <w:tcW w:w="4334" w:type="dxa"/>
            <w:vAlign w:val="center"/>
          </w:tcPr>
          <w:p>
            <w:pPr>
              <w:spacing w:line="30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2022年5月，通过省级未来社区试点验收。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9" w:hRule="atLeast"/>
          <w:jc w:val="center"/>
        </w:trPr>
        <w:tc>
          <w:tcPr>
            <w:tcW w:w="941" w:type="dxa"/>
            <w:vAlign w:val="center"/>
          </w:tcPr>
          <w:p>
            <w:pPr>
              <w:overflowPunct w:val="0"/>
              <w:adjustRightInd w:val="0"/>
              <w:snapToGrid w:val="0"/>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1929" w:type="dxa"/>
            <w:vAlign w:val="center"/>
          </w:tcPr>
          <w:p>
            <w:pPr>
              <w:spacing w:line="260" w:lineRule="exact"/>
              <w:jc w:val="center"/>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打造未来乡村改革试点</w:t>
            </w:r>
          </w:p>
        </w:tc>
        <w:tc>
          <w:tcPr>
            <w:tcW w:w="7754" w:type="dxa"/>
            <w:vAlign w:val="center"/>
          </w:tcPr>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1.以“1+1+X”的模式组建覆卮山先行片共富党建联盟，包括“1”个由东澄村、青山村、许岙村3个地域相连的乡村振兴先行村党组织组成的联盟阵地，“1”支由杭州趣村游文旅集团、杭州三言文旅发展有限公司等运营单位组成的运营队伍，以及由曹娥江旅游度假区管委会、区农业农村局、区供电公司等若干区级部门单位组成的共建单位。</w:t>
            </w:r>
          </w:p>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r>
              <w:rPr>
                <w:rFonts w:hint="eastAsia" w:ascii="Times New Roman" w:hAnsi="Times New Roman" w:eastAsia="仿宋_GB2312" w:cs="Times New Roman"/>
                <w:sz w:val="24"/>
                <w:lang w:val="en-US" w:eastAsia="zh-CN"/>
              </w:rPr>
              <w:t>.</w:t>
            </w:r>
            <w:bookmarkStart w:id="0" w:name="_GoBack"/>
            <w:bookmarkEnd w:id="0"/>
            <w:r>
              <w:rPr>
                <w:rFonts w:hint="default" w:ascii="Times New Roman" w:hAnsi="Times New Roman" w:eastAsia="仿宋_GB2312" w:cs="Times New Roman"/>
                <w:sz w:val="24"/>
              </w:rPr>
              <w:t>统筹编制整体旅游发展策划，明确“一村一品差异发展、景区村落协同发展、区域一体联动发展”模式，发布“石上东澄”、“美好青山”、“红色许岙”品牌IP，探索共同富裕、轻度假目的地等多跨应用场景。</w:t>
            </w:r>
          </w:p>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3.确定以“民宿”“休闲”“文创”为特色的“覆卮旅居”主题，引进趣村游等运营团队驻村运营，实施“微改造、精提升”，推动形成以沐格山居、那园等为代表的精品民宿集群；培育建设包含攀浪、骑行、漂流、定向越野等项目的休闲运动区，精心打造帐篷住宿、射箭、高尔夫、夜间篝火等的乡村体验空间，充分彰显片区整体辨识度。</w:t>
            </w:r>
          </w:p>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4.打造青年创客孵化平台，引入乡创人才入驻从事乡村电商、文化创意、数字旅游运营等产业，不断增加高层次人才、产业化项目与乡村发展的黏合度。</w:t>
            </w:r>
          </w:p>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5.实施活动共办工程，举办诗画曹娥江、长三角运动休闲季、红色美丽村发布仪式等各类大型节会活动。</w:t>
            </w:r>
          </w:p>
        </w:tc>
        <w:tc>
          <w:tcPr>
            <w:tcW w:w="4334" w:type="dxa"/>
            <w:vAlign w:val="center"/>
          </w:tcPr>
          <w:p>
            <w:pPr>
              <w:spacing w:line="260" w:lineRule="exact"/>
              <w:jc w:val="left"/>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在引进标志性业态项目、建设数字乡村、推进共同富裕上发力，形成一个产业生态圈、一条美丽经济带、一个共同富裕片，全力打造有岭南辨识度、有引领带动作用的乡村振兴“先行片”。</w:t>
            </w:r>
          </w:p>
        </w:tc>
      </w:tr>
    </w:tbl>
    <w:p>
      <w:pP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sz w:val="28"/>
          <w:szCs w:val="28"/>
        </w:rPr>
        <w:br w:type="page"/>
      </w:r>
      <w:r>
        <w:rPr>
          <w:rFonts w:hint="default" w:ascii="Times New Roman" w:hAnsi="Times New Roman" w:eastAsia="黑体" w:cs="Times New Roman"/>
          <w:bCs/>
          <w:color w:val="000000"/>
          <w:sz w:val="32"/>
          <w:szCs w:val="32"/>
        </w:rPr>
        <w:t>附件4</w:t>
      </w:r>
    </w:p>
    <w:p>
      <w:pPr>
        <w:snapToGrid w:val="0"/>
        <w:spacing w:line="560" w:lineRule="exact"/>
        <w:jc w:val="center"/>
        <w:rPr>
          <w:rFonts w:hint="default" w:ascii="Times New Roman" w:hAnsi="Times New Roman" w:eastAsia="方正小标宋简体" w:cs="Times New Roman"/>
          <w:bCs/>
          <w:color w:val="000000"/>
          <w:sz w:val="40"/>
          <w:szCs w:val="40"/>
        </w:rPr>
      </w:pPr>
      <w:r>
        <w:rPr>
          <w:rFonts w:hint="default" w:ascii="Times New Roman" w:hAnsi="Times New Roman" w:eastAsia="方正小标宋简体" w:cs="Times New Roman"/>
          <w:bCs/>
          <w:color w:val="000000"/>
          <w:sz w:val="40"/>
          <w:szCs w:val="40"/>
        </w:rPr>
        <w:t>“共同富裕提质年”标志性成果清单</w:t>
      </w:r>
    </w:p>
    <w:p>
      <w:pPr>
        <w:pStyle w:val="2"/>
        <w:ind w:left="840" w:hanging="420"/>
        <w:rPr>
          <w:rFonts w:hint="default" w:ascii="Times New Roman" w:hAnsi="Times New Roman" w:cs="Times New Roman"/>
        </w:rPr>
      </w:pPr>
    </w:p>
    <w:tbl>
      <w:tblPr>
        <w:tblStyle w:val="16"/>
        <w:tblW w:w="15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802"/>
        <w:gridCol w:w="4038"/>
        <w:gridCol w:w="3173"/>
        <w:gridCol w:w="4195"/>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blHeader/>
          <w:jc w:val="center"/>
        </w:trPr>
        <w:tc>
          <w:tcPr>
            <w:tcW w:w="707"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802"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事项名称</w:t>
            </w:r>
          </w:p>
        </w:tc>
        <w:tc>
          <w:tcPr>
            <w:tcW w:w="4038"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目标举措</w:t>
            </w:r>
          </w:p>
        </w:tc>
        <w:tc>
          <w:tcPr>
            <w:tcW w:w="3173"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半年度任务</w:t>
            </w:r>
          </w:p>
        </w:tc>
        <w:tc>
          <w:tcPr>
            <w:tcW w:w="4195"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年度任务</w:t>
            </w:r>
          </w:p>
        </w:tc>
        <w:tc>
          <w:tcPr>
            <w:tcW w:w="1263" w:type="dxa"/>
            <w:vAlign w:val="center"/>
          </w:tcPr>
          <w:p>
            <w:pPr>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实施高质量就业促富</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实施创业带动就业倍增工程，加大创业孵化示范基地培育，推进小微企业担保贷款助创行动。开展就业服务质量提升工程，结合重点群体帮扶，按需开发公益性岗位兜底安置保障。持续推进“金蓝领”职业技能培训，逐渐形成技能人才终生职业技能成长档案。</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全区新增就业1.8万人以上，帮扶就业困难人员实现就业1000人以上。按照省、市政策调整失业保险金标准为最低工资标准的90%。开展职业技能培训达1万人次，新增高技能人才1300人。</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全区城镇新增就业3.5万人以上，调查失业率控制在5.5%以内。完成认定高质量就业社区（村）创建60家以上。开展职业技能培训2万人次，新增高技能人才2600人。</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实施低收入农户增收共富</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低收入农户健康保险；加大产业帮扶力度，实施产业扶贫基地创建；精准提升“一户一册一干部”结对帮扶。</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人均可支配收入达到20100元，实现1个干部结对帮扶不超过5户。产业帮扶有成效。</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低收入居民人均可支配收入同比增长10%，低收入农户健康保险提标扩面。</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建设新时代社会救助体系</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实现低保标准提高，开展困难群众探访关爱工作，深化未来社区助联体建设，依托省大救助系统开发邻里救应用场景。</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二季度实现困难群众探访关爱率80%，完成未来社区应用场景开发，上架浙里办，初步实现推广应用。</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四季度实现困难群众探访关爱率100%，实现未来社区“助联体”建设完成，弱势群体结对帮扶不少于20对，低保标准调整至不低于920元/月。</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802"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推动养老扶弱提质</w:t>
            </w:r>
          </w:p>
        </w:tc>
        <w:tc>
          <w:tcPr>
            <w:tcW w:w="4038" w:type="dxa"/>
            <w:vAlign w:val="center"/>
          </w:tcPr>
          <w:p>
            <w:pPr>
              <w:widowControl/>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推动养老服务品质化。</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出台“养老扶弱提质工程”政策文件，组织实施工程推进。</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启动区康养中心建设。建成1家智慧公办（含公建民营)养老院，新增老年食堂3家，品质提升5家。新增认知症照护专区床位150张，新增持证养老护理员170人，乡镇（街道)居家养老服务中心无感智能服务实现全覆盖。</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组织困难家庭、孤寡独居老人定期探访及阳光关爱行动，惠及居民2500余户。</w:t>
            </w:r>
          </w:p>
        </w:tc>
        <w:tc>
          <w:tcPr>
            <w:tcW w:w="1263"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推进优化生育政策落地</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研究提出新的优化生育政策建议，在省级政策基础上试点探索相关优育做法。</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加强与省市相关部门的对接，落实省发展规划研究院协助参与课题。赴乡镇（街道）、企业、机关事业单位等座谈调研。在系统分析、广泛征求意见的基础上，完成课题报告。</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以课题的形式对优化生育政策开展研究，通过群众议、部门说、外出学等途径进行全方面调研，同时依靠省发规院等智库，研究探索符合实际、具有可行性的政策建议，并开展探索试点。</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深化农村宅基地改革国家级试点</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加快推进基础信息调查，全面推进宅基地数字化管理应用；推进宅改试点项目落地建设；完善宅基地审批及管理相关政策制度。</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完成农村宅基地基础信息调查。拟订相关宅基地改革政策和实施细则。</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宅基地制度和改革试点项目初出成效。完成部级试点工作目标任务，综合评介得分90分以上。</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2"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1802"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共同富裕现代化基本单元提质扩面</w:t>
            </w:r>
          </w:p>
        </w:tc>
        <w:tc>
          <w:tcPr>
            <w:tcW w:w="4038"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开展东澄村未来乡村试点建设；持续推进4个省级未来社区建设，完成1个未来社区验收，建成2个省级城市风貌样板区、1个省级县域风貌样板区和3个邻里中心。</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未来乡村省级申报、项目确定、投资计划下达、招投标工作，实施建设；出台《上虞区未来乡村建设三年方案》。完成南丰未来社区验收，完成2个省级城市风貌样板区、1个省级县域风貌样板区的建设方案，积极申报新一批省级未来社区试点。</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完成东澄村未来乡村试点建设；完成南丰未来社区验收，建成2个省级城市风貌样板区、1个省级县域风貌样板区和3个邻里中心，申报2023年拟建成城乡风貌样板区。</w:t>
            </w:r>
          </w:p>
        </w:tc>
        <w:tc>
          <w:tcPr>
            <w:tcW w:w="1263"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区建设局、区农业农村局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802"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实施文化惠民工程</w:t>
            </w:r>
          </w:p>
        </w:tc>
        <w:tc>
          <w:tcPr>
            <w:tcW w:w="4038" w:type="dxa"/>
            <w:vAlign w:val="center"/>
          </w:tcPr>
          <w:p>
            <w:pPr>
              <w:widowControl/>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提升文化惠民服务水平，提供文化礼堂阵地场景，满足人民群众对美好生活需求。</w:t>
            </w:r>
          </w:p>
        </w:tc>
        <w:tc>
          <w:tcPr>
            <w:tcW w:w="3173"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组织阳光文化惠民行动100场，送戏下乡50场，文化走亲5场。</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组织阳光文化惠民行动250场，送戏下乡100场，文化走亲10场。</w:t>
            </w:r>
          </w:p>
        </w:tc>
        <w:tc>
          <w:tcPr>
            <w:tcW w:w="1263"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区委宣传部、区文广旅游局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6"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1802"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着力建设省体育现代化区</w:t>
            </w:r>
          </w:p>
        </w:tc>
        <w:tc>
          <w:tcPr>
            <w:tcW w:w="4038" w:type="dxa"/>
            <w:vAlign w:val="center"/>
          </w:tcPr>
          <w:p>
            <w:pPr>
              <w:widowControl/>
              <w:spacing w:line="280" w:lineRule="exact"/>
              <w:jc w:val="left"/>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打造体育赛事品牌，赋能城市品质。提升全民健身工程，赋能健康上虞。</w:t>
            </w:r>
          </w:p>
        </w:tc>
        <w:tc>
          <w:tcPr>
            <w:tcW w:w="3173" w:type="dxa"/>
            <w:vAlign w:val="center"/>
          </w:tcPr>
          <w:p>
            <w:pPr>
              <w:spacing w:line="280" w:lineRule="exact"/>
              <w:jc w:val="left"/>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发布《上虞区全民健身实施计划（2021-2025）》；承办（举办）高规格体育赛事活动6场次以上；完成省市基层体育设施建设布点、招标、动工；完成国民体质监测样本数2000人以上；完成“全民健身节”启动仪式和“体育进农村文化礼堂活动”招标手续；举办各级各类群众体育赛事活动100场以上。</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发布《上虞区全民健身实施计划（2021-2025）》；承办（举办）高规格体育赛事活动12场次以上，培育省品牌赛事1个以上，市品牌赛事5个以上；高质量完成省市基层体育设施建设任务，人均体育场地面积达到3.0平方米；继续深化鼓励社会力量开办体质认定与运动康复机构试点项目，完成国民体质监测样本数4000人以上，合格率达到94％以上。开展“全民健身节”“全民健身日”“体育进农村文化礼堂活动”等具有一定影响力的全民健身品牌活动。举办各级各类群众体育赛事活动200场以上。</w:t>
            </w:r>
          </w:p>
        </w:tc>
        <w:tc>
          <w:tcPr>
            <w:tcW w:w="1263"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707" w:type="dxa"/>
            <w:vAlign w:val="center"/>
          </w:tcPr>
          <w:p>
            <w:pPr>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802"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打造山海协作工程升级版</w:t>
            </w:r>
          </w:p>
        </w:tc>
        <w:tc>
          <w:tcPr>
            <w:tcW w:w="4038" w:type="dxa"/>
            <w:vAlign w:val="center"/>
          </w:tcPr>
          <w:p>
            <w:pPr>
              <w:widowControl/>
              <w:spacing w:line="28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持续健全协作机制，深化“产业飞地”“消薄飞地”合作，推进乡村振兴示范点建设，进一步拓展协作方式和协作领域。</w:t>
            </w:r>
          </w:p>
        </w:tc>
        <w:tc>
          <w:tcPr>
            <w:tcW w:w="3173" w:type="dxa"/>
            <w:vAlign w:val="center"/>
          </w:tcPr>
          <w:p>
            <w:pPr>
              <w:spacing w:line="28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制定山海协作年度重点工作清单；乡村振兴示范村建设取得初步成效；继续大力实施消费帮扶。</w:t>
            </w:r>
          </w:p>
        </w:tc>
        <w:tc>
          <w:tcPr>
            <w:tcW w:w="4195" w:type="dxa"/>
            <w:vAlign w:val="center"/>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开展两地党政代表团互访活动；加快推进“产业飞地”项目建设；高质量完成产业协作、消费帮扶、“消薄飞地”、乡村振兴示范村等各项考核指标。</w:t>
            </w:r>
          </w:p>
        </w:tc>
        <w:tc>
          <w:tcPr>
            <w:tcW w:w="1263" w:type="dxa"/>
            <w:vAlign w:val="center"/>
          </w:tcPr>
          <w:p>
            <w:pPr>
              <w:widowControl/>
              <w:spacing w:line="2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区发改局</w:t>
            </w:r>
          </w:p>
        </w:tc>
      </w:tr>
    </w:tbl>
    <w:p>
      <w:pPr>
        <w:pStyle w:val="32"/>
        <w:snapToGrid w:val="0"/>
        <w:spacing w:line="560" w:lineRule="exact"/>
        <w:rPr>
          <w:rFonts w:hint="default" w:ascii="Times New Roman" w:hAnsi="Times New Roman" w:eastAsia="黑体" w:cs="Times New Roman"/>
          <w:bCs/>
          <w:color w:val="000000"/>
          <w:sz w:val="28"/>
          <w:szCs w:val="28"/>
        </w:rPr>
      </w:pPr>
    </w:p>
    <w:sectPr>
      <w:pgSz w:w="16838" w:h="11906" w:orient="landscape"/>
      <w:pgMar w:top="1417" w:right="1191" w:bottom="1304"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E8314"/>
    <w:multiLevelType w:val="singleLevel"/>
    <w:tmpl w:val="F9FE8314"/>
    <w:lvl w:ilvl="0" w:tentative="0">
      <w:start w:val="1"/>
      <w:numFmt w:val="decimal"/>
      <w:lvlText w:val="%1."/>
      <w:lvlJc w:val="left"/>
      <w:pPr>
        <w:tabs>
          <w:tab w:val="left" w:pos="312"/>
        </w:tabs>
      </w:pPr>
    </w:lvl>
  </w:abstractNum>
  <w:abstractNum w:abstractNumId="1">
    <w:nsid w:val="FF9C5AA5"/>
    <w:multiLevelType w:val="singleLevel"/>
    <w:tmpl w:val="FF9C5AA5"/>
    <w:lvl w:ilvl="0" w:tentative="0">
      <w:start w:val="1"/>
      <w:numFmt w:val="bullet"/>
      <w:pStyle w:val="9"/>
      <w:lvlText w:val=""/>
      <w:lvlJc w:val="left"/>
      <w:pPr>
        <w:tabs>
          <w:tab w:val="left" w:pos="780"/>
        </w:tabs>
        <w:ind w:left="780" w:hanging="360"/>
      </w:pPr>
      <w:rPr>
        <w:rFonts w:hint="default" w:ascii="Wingdings" w:hAnsi="Wingdings"/>
      </w:rPr>
    </w:lvl>
  </w:abstractNum>
  <w:abstractNum w:abstractNumId="2">
    <w:nsid w:val="3626120E"/>
    <w:multiLevelType w:val="singleLevel"/>
    <w:tmpl w:val="3626120E"/>
    <w:lvl w:ilvl="0" w:tentative="0">
      <w:start w:val="1"/>
      <w:numFmt w:val="decimal"/>
      <w:lvlText w:val="%1."/>
      <w:lvlJc w:val="left"/>
      <w:pPr>
        <w:tabs>
          <w:tab w:val="left" w:pos="312"/>
        </w:tabs>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4504D"/>
    <w:rsid w:val="000302BD"/>
    <w:rsid w:val="00093476"/>
    <w:rsid w:val="00182F5A"/>
    <w:rsid w:val="001C1C2A"/>
    <w:rsid w:val="00212FBD"/>
    <w:rsid w:val="002C1D48"/>
    <w:rsid w:val="002D02C2"/>
    <w:rsid w:val="00303D2A"/>
    <w:rsid w:val="003541C2"/>
    <w:rsid w:val="00354D62"/>
    <w:rsid w:val="00364CF4"/>
    <w:rsid w:val="003A3166"/>
    <w:rsid w:val="003D7F50"/>
    <w:rsid w:val="003E5861"/>
    <w:rsid w:val="00467DD9"/>
    <w:rsid w:val="004A65A6"/>
    <w:rsid w:val="00522254"/>
    <w:rsid w:val="0054218B"/>
    <w:rsid w:val="0054220C"/>
    <w:rsid w:val="00554DE6"/>
    <w:rsid w:val="00574F2F"/>
    <w:rsid w:val="005C4BF6"/>
    <w:rsid w:val="0066490E"/>
    <w:rsid w:val="006A407A"/>
    <w:rsid w:val="006C7A89"/>
    <w:rsid w:val="00703201"/>
    <w:rsid w:val="00755F8F"/>
    <w:rsid w:val="00797696"/>
    <w:rsid w:val="007A64ED"/>
    <w:rsid w:val="007D04E8"/>
    <w:rsid w:val="008007AD"/>
    <w:rsid w:val="00861D22"/>
    <w:rsid w:val="008B1891"/>
    <w:rsid w:val="008B2153"/>
    <w:rsid w:val="00966251"/>
    <w:rsid w:val="009D320D"/>
    <w:rsid w:val="009F08A4"/>
    <w:rsid w:val="00A01448"/>
    <w:rsid w:val="00A210E2"/>
    <w:rsid w:val="00B338BC"/>
    <w:rsid w:val="00B361F5"/>
    <w:rsid w:val="00B6045C"/>
    <w:rsid w:val="00B63951"/>
    <w:rsid w:val="00B93663"/>
    <w:rsid w:val="00BC0659"/>
    <w:rsid w:val="00BF771E"/>
    <w:rsid w:val="00BF7AC0"/>
    <w:rsid w:val="00C05FF0"/>
    <w:rsid w:val="00C14955"/>
    <w:rsid w:val="00D22236"/>
    <w:rsid w:val="00DB76B8"/>
    <w:rsid w:val="00E03540"/>
    <w:rsid w:val="00EE6856"/>
    <w:rsid w:val="00F37AC3"/>
    <w:rsid w:val="00F73685"/>
    <w:rsid w:val="00FA0977"/>
    <w:rsid w:val="0121322B"/>
    <w:rsid w:val="023C691D"/>
    <w:rsid w:val="03BA70C2"/>
    <w:rsid w:val="03F424BB"/>
    <w:rsid w:val="049820AD"/>
    <w:rsid w:val="04F33296"/>
    <w:rsid w:val="052774D0"/>
    <w:rsid w:val="05C17E16"/>
    <w:rsid w:val="05FB60D0"/>
    <w:rsid w:val="062E4A77"/>
    <w:rsid w:val="073951A0"/>
    <w:rsid w:val="087230CD"/>
    <w:rsid w:val="08966904"/>
    <w:rsid w:val="08D46910"/>
    <w:rsid w:val="08E41D65"/>
    <w:rsid w:val="09D54B7C"/>
    <w:rsid w:val="0A571B23"/>
    <w:rsid w:val="0A82350C"/>
    <w:rsid w:val="0B510C5D"/>
    <w:rsid w:val="0B7E0C94"/>
    <w:rsid w:val="0B976719"/>
    <w:rsid w:val="0C07196D"/>
    <w:rsid w:val="0CEB0C81"/>
    <w:rsid w:val="0CF3701B"/>
    <w:rsid w:val="0D1424ED"/>
    <w:rsid w:val="0DC77EC7"/>
    <w:rsid w:val="0DCD2DC7"/>
    <w:rsid w:val="0E0A0E27"/>
    <w:rsid w:val="0F3C5625"/>
    <w:rsid w:val="0F4D736D"/>
    <w:rsid w:val="0F7F5F4E"/>
    <w:rsid w:val="0FA7589A"/>
    <w:rsid w:val="103C1F26"/>
    <w:rsid w:val="10615A49"/>
    <w:rsid w:val="10DB1AAB"/>
    <w:rsid w:val="10FD4510"/>
    <w:rsid w:val="120945EA"/>
    <w:rsid w:val="12513938"/>
    <w:rsid w:val="126C687D"/>
    <w:rsid w:val="12A81095"/>
    <w:rsid w:val="13122ABD"/>
    <w:rsid w:val="1321035B"/>
    <w:rsid w:val="13506B61"/>
    <w:rsid w:val="13D34EB0"/>
    <w:rsid w:val="13F14BB5"/>
    <w:rsid w:val="1417448F"/>
    <w:rsid w:val="1479548A"/>
    <w:rsid w:val="14AB7BDB"/>
    <w:rsid w:val="14BE6B69"/>
    <w:rsid w:val="14EF5D19"/>
    <w:rsid w:val="152534E9"/>
    <w:rsid w:val="15486AF4"/>
    <w:rsid w:val="16A71B5B"/>
    <w:rsid w:val="16F85BC7"/>
    <w:rsid w:val="175B7522"/>
    <w:rsid w:val="175D44AC"/>
    <w:rsid w:val="17D336D0"/>
    <w:rsid w:val="19AA36AD"/>
    <w:rsid w:val="1A3D50E9"/>
    <w:rsid w:val="1A920892"/>
    <w:rsid w:val="1A94374A"/>
    <w:rsid w:val="1AE57555"/>
    <w:rsid w:val="1AF25580"/>
    <w:rsid w:val="1B245F4B"/>
    <w:rsid w:val="1B623710"/>
    <w:rsid w:val="1B8B500D"/>
    <w:rsid w:val="1C080C41"/>
    <w:rsid w:val="1C7F3629"/>
    <w:rsid w:val="1DAD49C3"/>
    <w:rsid w:val="1E6E7D06"/>
    <w:rsid w:val="1EBC3110"/>
    <w:rsid w:val="1F510EDE"/>
    <w:rsid w:val="20B971DB"/>
    <w:rsid w:val="20DF3006"/>
    <w:rsid w:val="211B39F2"/>
    <w:rsid w:val="217E28FF"/>
    <w:rsid w:val="221768AF"/>
    <w:rsid w:val="226C0E5E"/>
    <w:rsid w:val="22A46395"/>
    <w:rsid w:val="22AE7A95"/>
    <w:rsid w:val="22D217AE"/>
    <w:rsid w:val="22F25269"/>
    <w:rsid w:val="23395C1F"/>
    <w:rsid w:val="23B11CC2"/>
    <w:rsid w:val="24545B99"/>
    <w:rsid w:val="248F6BD1"/>
    <w:rsid w:val="253D487F"/>
    <w:rsid w:val="2600299B"/>
    <w:rsid w:val="263F5BCC"/>
    <w:rsid w:val="267320FE"/>
    <w:rsid w:val="274F522A"/>
    <w:rsid w:val="27505DCC"/>
    <w:rsid w:val="28AF7842"/>
    <w:rsid w:val="28BC5865"/>
    <w:rsid w:val="28CC4E3F"/>
    <w:rsid w:val="29422464"/>
    <w:rsid w:val="297D16EE"/>
    <w:rsid w:val="29D77019"/>
    <w:rsid w:val="2A5A558B"/>
    <w:rsid w:val="2AA443AB"/>
    <w:rsid w:val="2BBFA5E1"/>
    <w:rsid w:val="2C0B1233"/>
    <w:rsid w:val="2C2D49FB"/>
    <w:rsid w:val="2C7D1479"/>
    <w:rsid w:val="2D86591E"/>
    <w:rsid w:val="2EF02E9E"/>
    <w:rsid w:val="2F034443"/>
    <w:rsid w:val="2F9C422C"/>
    <w:rsid w:val="2FBF1338"/>
    <w:rsid w:val="30C714A1"/>
    <w:rsid w:val="30FC2F20"/>
    <w:rsid w:val="312D39F9"/>
    <w:rsid w:val="322A7F39"/>
    <w:rsid w:val="32AB107A"/>
    <w:rsid w:val="33EB21B8"/>
    <w:rsid w:val="343E66C0"/>
    <w:rsid w:val="34455D06"/>
    <w:rsid w:val="34CC3529"/>
    <w:rsid w:val="34CC6681"/>
    <w:rsid w:val="3551355F"/>
    <w:rsid w:val="35AE6B3E"/>
    <w:rsid w:val="36897924"/>
    <w:rsid w:val="36AE22C7"/>
    <w:rsid w:val="375241BA"/>
    <w:rsid w:val="37C57E8A"/>
    <w:rsid w:val="382E5EB9"/>
    <w:rsid w:val="3878561A"/>
    <w:rsid w:val="39AB195F"/>
    <w:rsid w:val="39B50A30"/>
    <w:rsid w:val="39E561B5"/>
    <w:rsid w:val="3A396F6B"/>
    <w:rsid w:val="3A54640C"/>
    <w:rsid w:val="3AC61623"/>
    <w:rsid w:val="3B797773"/>
    <w:rsid w:val="3D8E52AA"/>
    <w:rsid w:val="3D915310"/>
    <w:rsid w:val="3DC54FBA"/>
    <w:rsid w:val="3E482E01"/>
    <w:rsid w:val="3EA0374B"/>
    <w:rsid w:val="3F950EA7"/>
    <w:rsid w:val="3FF71CFC"/>
    <w:rsid w:val="409E793A"/>
    <w:rsid w:val="41160006"/>
    <w:rsid w:val="4143258D"/>
    <w:rsid w:val="415311D2"/>
    <w:rsid w:val="416D67FA"/>
    <w:rsid w:val="41854F0F"/>
    <w:rsid w:val="419E3895"/>
    <w:rsid w:val="41BD2B78"/>
    <w:rsid w:val="41FF0A9A"/>
    <w:rsid w:val="42051E29"/>
    <w:rsid w:val="42C872FD"/>
    <w:rsid w:val="42FE2D71"/>
    <w:rsid w:val="433E1A96"/>
    <w:rsid w:val="43A90845"/>
    <w:rsid w:val="43B866C0"/>
    <w:rsid w:val="447F5EC2"/>
    <w:rsid w:val="448839A1"/>
    <w:rsid w:val="45534332"/>
    <w:rsid w:val="45AB18D0"/>
    <w:rsid w:val="45CD0EAF"/>
    <w:rsid w:val="463902F3"/>
    <w:rsid w:val="465B64BB"/>
    <w:rsid w:val="46983AF7"/>
    <w:rsid w:val="47153DA5"/>
    <w:rsid w:val="477F4464"/>
    <w:rsid w:val="47897056"/>
    <w:rsid w:val="4845227C"/>
    <w:rsid w:val="486E0E2D"/>
    <w:rsid w:val="489B34E7"/>
    <w:rsid w:val="48B26412"/>
    <w:rsid w:val="48E6390A"/>
    <w:rsid w:val="49094A5C"/>
    <w:rsid w:val="49B913BA"/>
    <w:rsid w:val="4AB33E24"/>
    <w:rsid w:val="4B7B1813"/>
    <w:rsid w:val="4BD83F90"/>
    <w:rsid w:val="4C5320BB"/>
    <w:rsid w:val="4D0D2EF6"/>
    <w:rsid w:val="4D902EEE"/>
    <w:rsid w:val="4EAC3D58"/>
    <w:rsid w:val="4EAD21E9"/>
    <w:rsid w:val="4F9667B6"/>
    <w:rsid w:val="4FAA128C"/>
    <w:rsid w:val="50170DCA"/>
    <w:rsid w:val="50A17B12"/>
    <w:rsid w:val="50CB07C1"/>
    <w:rsid w:val="51513CF5"/>
    <w:rsid w:val="519E3BC6"/>
    <w:rsid w:val="51D66D87"/>
    <w:rsid w:val="528257B0"/>
    <w:rsid w:val="52892B79"/>
    <w:rsid w:val="52CA29FF"/>
    <w:rsid w:val="530D4FE1"/>
    <w:rsid w:val="53BC2CAC"/>
    <w:rsid w:val="542D1942"/>
    <w:rsid w:val="54401AE8"/>
    <w:rsid w:val="54A159E1"/>
    <w:rsid w:val="54C067AF"/>
    <w:rsid w:val="56075D9D"/>
    <w:rsid w:val="56A63F24"/>
    <w:rsid w:val="56D53609"/>
    <w:rsid w:val="56E66275"/>
    <w:rsid w:val="56EB6721"/>
    <w:rsid w:val="57B17F9E"/>
    <w:rsid w:val="596D0588"/>
    <w:rsid w:val="5A1D5B0A"/>
    <w:rsid w:val="5AC02E35"/>
    <w:rsid w:val="5AEB1E12"/>
    <w:rsid w:val="5B3C5D67"/>
    <w:rsid w:val="5B416320"/>
    <w:rsid w:val="5C26551C"/>
    <w:rsid w:val="5C8A40E3"/>
    <w:rsid w:val="5CA20DBA"/>
    <w:rsid w:val="5CD62684"/>
    <w:rsid w:val="5CFA5423"/>
    <w:rsid w:val="5CFB2082"/>
    <w:rsid w:val="5E3813A1"/>
    <w:rsid w:val="5E41784B"/>
    <w:rsid w:val="5E8E1FD8"/>
    <w:rsid w:val="5EB4504D"/>
    <w:rsid w:val="5F99213D"/>
    <w:rsid w:val="5FB90285"/>
    <w:rsid w:val="603675A5"/>
    <w:rsid w:val="604213F0"/>
    <w:rsid w:val="609D79A4"/>
    <w:rsid w:val="60F92FDF"/>
    <w:rsid w:val="61743A77"/>
    <w:rsid w:val="61B72821"/>
    <w:rsid w:val="61D8692B"/>
    <w:rsid w:val="63497A02"/>
    <w:rsid w:val="63C322D4"/>
    <w:rsid w:val="63CD181C"/>
    <w:rsid w:val="64FF17C2"/>
    <w:rsid w:val="6578453C"/>
    <w:rsid w:val="658B2BE1"/>
    <w:rsid w:val="65B4537B"/>
    <w:rsid w:val="65DC0F6F"/>
    <w:rsid w:val="66524D8D"/>
    <w:rsid w:val="66AC2781"/>
    <w:rsid w:val="66E853A9"/>
    <w:rsid w:val="6705255C"/>
    <w:rsid w:val="670A56E6"/>
    <w:rsid w:val="6782758F"/>
    <w:rsid w:val="67A81560"/>
    <w:rsid w:val="68E72104"/>
    <w:rsid w:val="68F24043"/>
    <w:rsid w:val="690C441C"/>
    <w:rsid w:val="69263F77"/>
    <w:rsid w:val="696C2234"/>
    <w:rsid w:val="69D865C0"/>
    <w:rsid w:val="6AA8032E"/>
    <w:rsid w:val="6AB44268"/>
    <w:rsid w:val="6B0F7EC0"/>
    <w:rsid w:val="6B2A197B"/>
    <w:rsid w:val="6B83125A"/>
    <w:rsid w:val="6C00371C"/>
    <w:rsid w:val="6C8556BA"/>
    <w:rsid w:val="6C9329E9"/>
    <w:rsid w:val="6CBD0715"/>
    <w:rsid w:val="6D855A48"/>
    <w:rsid w:val="6D991B0B"/>
    <w:rsid w:val="6DAA14EF"/>
    <w:rsid w:val="6DF42BCE"/>
    <w:rsid w:val="6E565D71"/>
    <w:rsid w:val="6F3B4F58"/>
    <w:rsid w:val="700E1A3E"/>
    <w:rsid w:val="70F44881"/>
    <w:rsid w:val="71494B60"/>
    <w:rsid w:val="71BC388B"/>
    <w:rsid w:val="72822E9E"/>
    <w:rsid w:val="73CA68AB"/>
    <w:rsid w:val="73E97A4A"/>
    <w:rsid w:val="74502201"/>
    <w:rsid w:val="74842E11"/>
    <w:rsid w:val="74903883"/>
    <w:rsid w:val="75232716"/>
    <w:rsid w:val="75962946"/>
    <w:rsid w:val="759B2BF7"/>
    <w:rsid w:val="764A3CD3"/>
    <w:rsid w:val="76E9230E"/>
    <w:rsid w:val="76FA3EB5"/>
    <w:rsid w:val="773E07C2"/>
    <w:rsid w:val="77485F15"/>
    <w:rsid w:val="78DD9F4A"/>
    <w:rsid w:val="78E26444"/>
    <w:rsid w:val="7911661A"/>
    <w:rsid w:val="795D6BC7"/>
    <w:rsid w:val="79A669E4"/>
    <w:rsid w:val="79AB3F0E"/>
    <w:rsid w:val="79BC61C6"/>
    <w:rsid w:val="7B5A5ADA"/>
    <w:rsid w:val="7B665969"/>
    <w:rsid w:val="7B803CF3"/>
    <w:rsid w:val="7B807A28"/>
    <w:rsid w:val="7B8966CC"/>
    <w:rsid w:val="7BC771CF"/>
    <w:rsid w:val="7BE00A6E"/>
    <w:rsid w:val="7D4161ED"/>
    <w:rsid w:val="7DB220C0"/>
    <w:rsid w:val="7E0528AA"/>
    <w:rsid w:val="7E3B466F"/>
    <w:rsid w:val="7EE4369C"/>
    <w:rsid w:val="7EF31024"/>
    <w:rsid w:val="7F497B03"/>
    <w:rsid w:val="7F4F1675"/>
    <w:rsid w:val="7FFB1040"/>
    <w:rsid w:val="9F3D36F9"/>
    <w:rsid w:val="9FFB6427"/>
    <w:rsid w:val="EEBBEA62"/>
    <w:rsid w:val="F6BF191F"/>
    <w:rsid w:val="F6FFF972"/>
    <w:rsid w:val="F79FD32A"/>
    <w:rsid w:val="FF6BDD16"/>
    <w:rsid w:val="FFEBC1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99"/>
    <w:pPr>
      <w:keepNext/>
      <w:keepLines/>
      <w:spacing w:before="340" w:after="330" w:line="576" w:lineRule="auto"/>
      <w:outlineLvl w:val="0"/>
    </w:pPr>
    <w:rPr>
      <w:b/>
      <w:kern w:val="44"/>
      <w:sz w:val="44"/>
      <w:szCs w:val="44"/>
    </w:rPr>
  </w:style>
  <w:style w:type="paragraph" w:styleId="4">
    <w:name w:val="heading 3"/>
    <w:basedOn w:val="1"/>
    <w:next w:val="1"/>
    <w:link w:val="23"/>
    <w:qFormat/>
    <w:uiPriority w:val="99"/>
    <w:pPr>
      <w:spacing w:beforeAutospacing="1" w:afterAutospacing="1"/>
      <w:jc w:val="left"/>
      <w:outlineLvl w:val="2"/>
    </w:pPr>
    <w:rPr>
      <w:rFonts w:ascii="宋体" w:hAnsi="宋体"/>
      <w:b/>
      <w:bCs/>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5">
    <w:name w:val="Normal Indent"/>
    <w:basedOn w:val="1"/>
    <w:qFormat/>
    <w:uiPriority w:val="99"/>
    <w:pPr>
      <w:ind w:firstLine="420" w:firstLineChars="200"/>
    </w:pPr>
  </w:style>
  <w:style w:type="paragraph" w:styleId="6">
    <w:name w:val="Body Text"/>
    <w:basedOn w:val="1"/>
    <w:next w:val="7"/>
    <w:link w:val="24"/>
    <w:qFormat/>
    <w:uiPriority w:val="99"/>
    <w:pPr>
      <w:spacing w:after="120"/>
    </w:pPr>
  </w:style>
  <w:style w:type="paragraph" w:styleId="7">
    <w:name w:val="Body Text First Indent"/>
    <w:basedOn w:val="6"/>
    <w:next w:val="1"/>
    <w:link w:val="25"/>
    <w:qFormat/>
    <w:uiPriority w:val="99"/>
    <w:pPr>
      <w:spacing w:after="0" w:line="500" w:lineRule="exact"/>
      <w:ind w:firstLine="420"/>
    </w:pPr>
    <w:rPr>
      <w:rFonts w:ascii="Times New Roman" w:hAnsi="Times New Roman"/>
      <w:sz w:val="28"/>
      <w:szCs w:val="20"/>
    </w:rPr>
  </w:style>
  <w:style w:type="paragraph" w:styleId="8">
    <w:name w:val="Body Text Indent"/>
    <w:basedOn w:val="1"/>
    <w:next w:val="5"/>
    <w:link w:val="26"/>
    <w:qFormat/>
    <w:uiPriority w:val="99"/>
    <w:pPr>
      <w:spacing w:line="500" w:lineRule="exact"/>
      <w:ind w:firstLine="600"/>
    </w:pPr>
    <w:rPr>
      <w:rFonts w:eastAsia="仿宋_GB2312"/>
      <w:sz w:val="30"/>
    </w:rPr>
  </w:style>
  <w:style w:type="paragraph" w:styleId="9">
    <w:name w:val="List Bullet 2"/>
    <w:basedOn w:val="1"/>
    <w:next w:val="6"/>
    <w:qFormat/>
    <w:uiPriority w:val="99"/>
    <w:pPr>
      <w:numPr>
        <w:ilvl w:val="0"/>
        <w:numId w:val="1"/>
      </w:numPr>
    </w:pPr>
  </w:style>
  <w:style w:type="paragraph" w:styleId="10">
    <w:name w:val="Body Text Indent 2"/>
    <w:basedOn w:val="1"/>
    <w:link w:val="27"/>
    <w:qFormat/>
    <w:uiPriority w:val="99"/>
    <w:pPr>
      <w:spacing w:line="480" w:lineRule="auto"/>
      <w:ind w:left="420" w:leftChars="200"/>
    </w:pPr>
  </w:style>
  <w:style w:type="paragraph" w:styleId="11">
    <w:name w:val="footer"/>
    <w:basedOn w:val="1"/>
    <w:link w:val="28"/>
    <w:qFormat/>
    <w:uiPriority w:val="99"/>
    <w:pPr>
      <w:tabs>
        <w:tab w:val="center" w:pos="4153"/>
        <w:tab w:val="right" w:pos="8306"/>
      </w:tabs>
      <w:snapToGrid w:val="0"/>
      <w:jc w:val="left"/>
    </w:pPr>
    <w:rPr>
      <w:sz w:val="18"/>
    </w:rPr>
  </w:style>
  <w:style w:type="paragraph" w:styleId="12">
    <w:name w:val="header"/>
    <w:basedOn w:val="1"/>
    <w:link w:val="2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30"/>
    <w:qFormat/>
    <w:uiPriority w:val="99"/>
    <w:pPr>
      <w:snapToGrid w:val="0"/>
      <w:jc w:val="left"/>
    </w:pPr>
    <w:rPr>
      <w:sz w:val="18"/>
    </w:rPr>
  </w:style>
  <w:style w:type="paragraph" w:styleId="14">
    <w:name w:val="Normal (Web)"/>
    <w:basedOn w:val="1"/>
    <w:qFormat/>
    <w:uiPriority w:val="99"/>
    <w:pPr>
      <w:spacing w:beforeAutospacing="1" w:afterAutospacing="1"/>
      <w:jc w:val="left"/>
    </w:pPr>
    <w:rPr>
      <w:kern w:val="0"/>
      <w:sz w:val="24"/>
    </w:rPr>
  </w:style>
  <w:style w:type="paragraph" w:styleId="15">
    <w:name w:val="Body Text First Indent 2"/>
    <w:basedOn w:val="8"/>
    <w:next w:val="8"/>
    <w:link w:val="31"/>
    <w:qFormat/>
    <w:uiPriority w:val="99"/>
    <w:pPr>
      <w:ind w:firstLine="420" w:firstLineChars="200"/>
    </w:pPr>
    <w:rPr>
      <w:rFonts w:eastAsia="宋体"/>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99"/>
    <w:rPr>
      <w:rFonts w:cs="Times New Roman"/>
      <w:b/>
    </w:rPr>
  </w:style>
  <w:style w:type="character" w:styleId="20">
    <w:name w:val="Hyperlink"/>
    <w:qFormat/>
    <w:uiPriority w:val="99"/>
    <w:rPr>
      <w:rFonts w:cs="Times New Roman"/>
      <w:color w:val="0000FF"/>
      <w:u w:val="single"/>
    </w:rPr>
  </w:style>
  <w:style w:type="character" w:styleId="21">
    <w:name w:val="footnote reference"/>
    <w:qFormat/>
    <w:uiPriority w:val="99"/>
    <w:rPr>
      <w:rFonts w:cs="Times New Roman"/>
      <w:vertAlign w:val="superscript"/>
    </w:rPr>
  </w:style>
  <w:style w:type="character" w:customStyle="1" w:styleId="22">
    <w:name w:val="标题 1 字符"/>
    <w:link w:val="3"/>
    <w:qFormat/>
    <w:locked/>
    <w:uiPriority w:val="99"/>
    <w:rPr>
      <w:rFonts w:ascii="Calibri" w:hAnsi="Calibri" w:cs="Times New Roman"/>
      <w:b/>
      <w:bCs/>
      <w:kern w:val="44"/>
      <w:sz w:val="44"/>
      <w:szCs w:val="44"/>
    </w:rPr>
  </w:style>
  <w:style w:type="character" w:customStyle="1" w:styleId="23">
    <w:name w:val="标题 3 字符"/>
    <w:link w:val="4"/>
    <w:semiHidden/>
    <w:qFormat/>
    <w:locked/>
    <w:uiPriority w:val="99"/>
    <w:rPr>
      <w:rFonts w:ascii="Calibri" w:hAnsi="Calibri" w:cs="Times New Roman"/>
      <w:b/>
      <w:bCs/>
      <w:sz w:val="32"/>
      <w:szCs w:val="32"/>
    </w:rPr>
  </w:style>
  <w:style w:type="character" w:customStyle="1" w:styleId="24">
    <w:name w:val="正文文本 字符"/>
    <w:link w:val="6"/>
    <w:semiHidden/>
    <w:qFormat/>
    <w:locked/>
    <w:uiPriority w:val="99"/>
    <w:rPr>
      <w:rFonts w:ascii="Calibri" w:hAnsi="Calibri" w:cs="Times New Roman"/>
      <w:sz w:val="24"/>
      <w:szCs w:val="24"/>
    </w:rPr>
  </w:style>
  <w:style w:type="character" w:customStyle="1" w:styleId="25">
    <w:name w:val="正文文本首行缩进 字符"/>
    <w:link w:val="7"/>
    <w:semiHidden/>
    <w:qFormat/>
    <w:locked/>
    <w:uiPriority w:val="99"/>
    <w:rPr>
      <w:rFonts w:ascii="Calibri" w:hAnsi="Calibri" w:cs="Times New Roman"/>
      <w:sz w:val="24"/>
      <w:szCs w:val="24"/>
    </w:rPr>
  </w:style>
  <w:style w:type="character" w:customStyle="1" w:styleId="26">
    <w:name w:val="正文文本缩进 字符"/>
    <w:link w:val="8"/>
    <w:semiHidden/>
    <w:qFormat/>
    <w:locked/>
    <w:uiPriority w:val="99"/>
    <w:rPr>
      <w:rFonts w:ascii="Calibri" w:hAnsi="Calibri" w:cs="Times New Roman"/>
      <w:sz w:val="24"/>
      <w:szCs w:val="24"/>
    </w:rPr>
  </w:style>
  <w:style w:type="character" w:customStyle="1" w:styleId="27">
    <w:name w:val="正文文本缩进 2 字符"/>
    <w:link w:val="10"/>
    <w:semiHidden/>
    <w:qFormat/>
    <w:locked/>
    <w:uiPriority w:val="99"/>
    <w:rPr>
      <w:rFonts w:ascii="Calibri" w:hAnsi="Calibri" w:cs="Times New Roman"/>
      <w:sz w:val="24"/>
      <w:szCs w:val="24"/>
    </w:rPr>
  </w:style>
  <w:style w:type="character" w:customStyle="1" w:styleId="28">
    <w:name w:val="页脚 字符"/>
    <w:link w:val="11"/>
    <w:qFormat/>
    <w:locked/>
    <w:uiPriority w:val="99"/>
    <w:rPr>
      <w:rFonts w:ascii="Calibri" w:hAnsi="Calibri" w:cs="Times New Roman"/>
      <w:sz w:val="18"/>
      <w:szCs w:val="18"/>
    </w:rPr>
  </w:style>
  <w:style w:type="character" w:customStyle="1" w:styleId="29">
    <w:name w:val="页眉 字符"/>
    <w:link w:val="12"/>
    <w:semiHidden/>
    <w:qFormat/>
    <w:locked/>
    <w:uiPriority w:val="99"/>
    <w:rPr>
      <w:rFonts w:ascii="Calibri" w:hAnsi="Calibri" w:cs="Times New Roman"/>
      <w:sz w:val="18"/>
      <w:szCs w:val="18"/>
    </w:rPr>
  </w:style>
  <w:style w:type="character" w:customStyle="1" w:styleId="30">
    <w:name w:val="脚注文本 字符"/>
    <w:link w:val="13"/>
    <w:semiHidden/>
    <w:qFormat/>
    <w:locked/>
    <w:uiPriority w:val="99"/>
    <w:rPr>
      <w:rFonts w:ascii="Calibri" w:hAnsi="Calibri" w:cs="Times New Roman"/>
      <w:sz w:val="18"/>
      <w:szCs w:val="18"/>
    </w:rPr>
  </w:style>
  <w:style w:type="character" w:customStyle="1" w:styleId="31">
    <w:name w:val="正文文本首行缩进 2 字符"/>
    <w:link w:val="15"/>
    <w:semiHidden/>
    <w:qFormat/>
    <w:locked/>
    <w:uiPriority w:val="99"/>
    <w:rPr>
      <w:rFonts w:ascii="Calibri" w:hAnsi="Calibri" w:cs="Times New Roman"/>
      <w:sz w:val="24"/>
      <w:szCs w:val="24"/>
    </w:rPr>
  </w:style>
  <w:style w:type="paragraph" w:customStyle="1" w:styleId="32">
    <w:name w:val="Char"/>
    <w:basedOn w:val="1"/>
    <w:qFormat/>
    <w:uiPriority w:val="99"/>
  </w:style>
  <w:style w:type="paragraph" w:customStyle="1" w:styleId="3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4399</Words>
  <Characters>25077</Characters>
  <Lines>208</Lines>
  <Paragraphs>58</Paragraphs>
  <TotalTime>8</TotalTime>
  <ScaleCrop>false</ScaleCrop>
  <LinksUpToDate>false</LinksUpToDate>
  <CharactersWithSpaces>29418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2022-01-28T01:57:00Z</dcterms:created>
  <dc:creator>随风而飘</dc:creator>
  <cp:lastModifiedBy>^(oo)^?倩♂</cp:lastModifiedBy>
  <cp:lastPrinted>2022-02-25T19:03:00Z</cp:lastPrinted>
  <dcterms:modified xsi:type="dcterms:W3CDTF">2022-02-28T12:22:12Z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DE5FA2C483484C18A7DDF121FE0F2A00</vt:lpwstr>
  </property>
  <property fmtid="{D5CDD505-2E9C-101B-9397-08002B2CF9AE}" pid="4" name="woTemplateTypoMode" linkTarget="0">
    <vt:lpwstr>web</vt:lpwstr>
  </property>
  <property fmtid="{D5CDD505-2E9C-101B-9397-08002B2CF9AE}" pid="5" name="woTemplate" linkTarget="0">
    <vt:i4>1</vt:i4>
  </property>
</Properties>
</file>